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sz w:val="44"/>
          <w:szCs w:val="44"/>
          <w:lang w:val="zh-CN"/>
        </w:rPr>
        <w:id w:val="82971344"/>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25E79A86">
          <w:pPr>
            <w:pStyle w:val="13"/>
            <w:jc w:val="center"/>
            <w:rPr>
              <w:rFonts w:hint="eastAsia" w:ascii="方正小标宋_GBK" w:eastAsia="方正小标宋_GBK"/>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目录</w:t>
          </w:r>
        </w:p>
        <w:p w14:paraId="3C79C21C">
          <w:pPr>
            <w:pStyle w:val="6"/>
            <w:tabs>
              <w:tab w:val="right" w:leader="dot" w:pos="8296"/>
            </w:tabs>
            <w:rPr>
              <w:rFonts w:cstheme="minorBidi"/>
              <w:kern w:val="2"/>
              <w:sz w:val="21"/>
            </w:rPr>
          </w:pPr>
          <w:r>
            <w:fldChar w:fldCharType="begin"/>
          </w:r>
          <w:r>
            <w:instrText xml:space="preserve"> TOC \o "1-3" \h \z \u </w:instrText>
          </w:r>
          <w:r>
            <w:fldChar w:fldCharType="separate"/>
          </w:r>
          <w:r>
            <w:rPr>
              <w:b/>
              <w:bCs/>
            </w:rPr>
            <w:fldChar w:fldCharType="begin"/>
          </w:r>
          <w:r>
            <w:rPr>
              <w:b/>
              <w:bCs/>
            </w:rPr>
            <w:instrText xml:space="preserve"> HYPERLINK \l "_Toc226466345" </w:instrText>
          </w:r>
          <w:r>
            <w:rPr>
              <w:b/>
              <w:bCs/>
            </w:rPr>
            <w:fldChar w:fldCharType="separate"/>
          </w:r>
          <w:r>
            <w:rPr>
              <w:rStyle w:val="10"/>
              <w:rFonts w:ascii="方正小标宋_GBK" w:hAnsi="Calibri" w:eastAsia="方正小标宋_GBK"/>
              <w:b/>
              <w:bCs/>
            </w:rPr>
            <w:t>MR部分</w:t>
          </w:r>
          <w:r>
            <w:rPr>
              <w:b/>
              <w:bCs/>
            </w:rPr>
            <w:tab/>
          </w:r>
          <w:r>
            <w:rPr>
              <w:b/>
              <w:bCs/>
            </w:rPr>
            <w:fldChar w:fldCharType="begin"/>
          </w:r>
          <w:r>
            <w:rPr>
              <w:b/>
              <w:bCs/>
            </w:rPr>
            <w:instrText xml:space="preserve"> PAGEREF _Toc226466345 \h </w:instrText>
          </w:r>
          <w:r>
            <w:rPr>
              <w:b/>
              <w:bCs/>
            </w:rPr>
            <w:fldChar w:fldCharType="separate"/>
          </w:r>
          <w:r>
            <w:rPr>
              <w:b/>
              <w:bCs/>
            </w:rPr>
            <w:t>1</w:t>
          </w:r>
          <w:r>
            <w:rPr>
              <w:b/>
              <w:bCs/>
            </w:rPr>
            <w:fldChar w:fldCharType="end"/>
          </w:r>
          <w:r>
            <w:rPr>
              <w:b/>
              <w:bCs/>
            </w:rPr>
            <w:fldChar w:fldCharType="end"/>
          </w:r>
        </w:p>
        <w:p w14:paraId="26188C9B">
          <w:pPr>
            <w:pStyle w:val="6"/>
            <w:tabs>
              <w:tab w:val="right" w:leader="dot" w:pos="8296"/>
            </w:tabs>
            <w:rPr>
              <w:rFonts w:hint="eastAsia" w:ascii="仿宋_GB2312" w:hAnsi="仿宋_GB2312" w:eastAsia="仿宋_GB2312" w:cs="仿宋_GB2312"/>
              <w:b w:val="0"/>
              <w:bCs w:val="0"/>
              <w:kern w:val="2"/>
              <w:sz w:val="26"/>
              <w:szCs w:val="26"/>
            </w:rPr>
          </w:pPr>
          <w:r>
            <w:rPr>
              <w:rFonts w:hint="eastAsia" w:ascii="仿宋_GB2312" w:hAnsi="仿宋_GB2312" w:eastAsia="仿宋_GB2312" w:cs="仿宋_GB2312"/>
              <w:b w:val="0"/>
              <w:bCs w:val="0"/>
              <w:sz w:val="26"/>
              <w:szCs w:val="26"/>
            </w:rPr>
            <w:fldChar w:fldCharType="begin"/>
          </w:r>
          <w:r>
            <w:rPr>
              <w:rFonts w:hint="eastAsia" w:ascii="仿宋_GB2312" w:hAnsi="仿宋_GB2312" w:eastAsia="仿宋_GB2312" w:cs="仿宋_GB2312"/>
              <w:b w:val="0"/>
              <w:bCs w:val="0"/>
              <w:sz w:val="26"/>
              <w:szCs w:val="26"/>
            </w:rPr>
            <w:instrText xml:space="preserve"> HYPERLINK \l "_Toc226466346" </w:instrText>
          </w:r>
          <w:r>
            <w:rPr>
              <w:rFonts w:hint="eastAsia" w:ascii="仿宋_GB2312" w:hAnsi="仿宋_GB2312" w:eastAsia="仿宋_GB2312" w:cs="仿宋_GB2312"/>
              <w:b w:val="0"/>
              <w:bCs w:val="0"/>
              <w:sz w:val="26"/>
              <w:szCs w:val="26"/>
            </w:rPr>
            <w:fldChar w:fldCharType="separate"/>
          </w:r>
          <w:r>
            <w:rPr>
              <w:rStyle w:val="10"/>
              <w:rFonts w:hint="eastAsia" w:ascii="仿宋_GB2312" w:hAnsi="仿宋_GB2312" w:eastAsia="仿宋_GB2312" w:cs="仿宋_GB2312"/>
              <w:b w:val="0"/>
              <w:bCs w:val="0"/>
              <w:sz w:val="26"/>
              <w:szCs w:val="26"/>
            </w:rPr>
            <w:t>磁共振三维重建技术在前列腺病灶精准定位的临床应用研究</w:t>
          </w:r>
          <w:r>
            <w:rPr>
              <w:rFonts w:hint="eastAsia" w:ascii="仿宋_GB2312" w:hAnsi="仿宋_GB2312" w:eastAsia="仿宋_GB2312" w:cs="仿宋_GB2312"/>
              <w:b w:val="0"/>
              <w:bCs w:val="0"/>
              <w:sz w:val="26"/>
              <w:szCs w:val="26"/>
            </w:rPr>
            <w:tab/>
          </w:r>
          <w:r>
            <w:rPr>
              <w:rFonts w:hint="eastAsia" w:ascii="仿宋_GB2312" w:hAnsi="仿宋_GB2312" w:eastAsia="仿宋_GB2312" w:cs="仿宋_GB2312"/>
              <w:b w:val="0"/>
              <w:bCs w:val="0"/>
              <w:sz w:val="26"/>
              <w:szCs w:val="26"/>
            </w:rPr>
            <w:fldChar w:fldCharType="begin"/>
          </w:r>
          <w:r>
            <w:rPr>
              <w:rFonts w:hint="eastAsia" w:ascii="仿宋_GB2312" w:hAnsi="仿宋_GB2312" w:eastAsia="仿宋_GB2312" w:cs="仿宋_GB2312"/>
              <w:b w:val="0"/>
              <w:bCs w:val="0"/>
              <w:sz w:val="26"/>
              <w:szCs w:val="26"/>
            </w:rPr>
            <w:instrText xml:space="preserve"> PAGEREF _Toc226466346 \h </w:instrText>
          </w:r>
          <w:r>
            <w:rPr>
              <w:rFonts w:hint="eastAsia" w:ascii="仿宋_GB2312" w:hAnsi="仿宋_GB2312" w:eastAsia="仿宋_GB2312" w:cs="仿宋_GB2312"/>
              <w:b w:val="0"/>
              <w:bCs w:val="0"/>
              <w:sz w:val="26"/>
              <w:szCs w:val="26"/>
            </w:rPr>
            <w:fldChar w:fldCharType="separate"/>
          </w:r>
          <w:r>
            <w:rPr>
              <w:rFonts w:hint="eastAsia" w:ascii="仿宋_GB2312" w:hAnsi="仿宋_GB2312" w:eastAsia="仿宋_GB2312" w:cs="仿宋_GB2312"/>
              <w:b w:val="0"/>
              <w:bCs w:val="0"/>
              <w:sz w:val="26"/>
              <w:szCs w:val="26"/>
            </w:rPr>
            <w:t>1</w:t>
          </w:r>
          <w:r>
            <w:rPr>
              <w:rFonts w:hint="eastAsia" w:ascii="仿宋_GB2312" w:hAnsi="仿宋_GB2312" w:eastAsia="仿宋_GB2312" w:cs="仿宋_GB2312"/>
              <w:b w:val="0"/>
              <w:bCs w:val="0"/>
              <w:sz w:val="26"/>
              <w:szCs w:val="26"/>
            </w:rPr>
            <w:fldChar w:fldCharType="end"/>
          </w:r>
          <w:r>
            <w:rPr>
              <w:rFonts w:hint="eastAsia" w:ascii="仿宋_GB2312" w:hAnsi="仿宋_GB2312" w:eastAsia="仿宋_GB2312" w:cs="仿宋_GB2312"/>
              <w:b w:val="0"/>
              <w:bCs w:val="0"/>
              <w:sz w:val="26"/>
              <w:szCs w:val="26"/>
            </w:rPr>
            <w:fldChar w:fldCharType="end"/>
          </w:r>
        </w:p>
        <w:p w14:paraId="16D6E762">
          <w:pPr>
            <w:pStyle w:val="6"/>
            <w:tabs>
              <w:tab w:val="right" w:leader="dot" w:pos="8296"/>
            </w:tabs>
            <w:rPr>
              <w:rFonts w:hint="eastAsia" w:ascii="仿宋_GB2312" w:hAnsi="仿宋_GB2312" w:eastAsia="仿宋_GB2312" w:cs="仿宋_GB2312"/>
              <w:b w:val="0"/>
              <w:bCs w:val="0"/>
              <w:kern w:val="2"/>
              <w:sz w:val="26"/>
              <w:szCs w:val="26"/>
            </w:rPr>
          </w:pPr>
          <w:r>
            <w:rPr>
              <w:rFonts w:hint="eastAsia" w:ascii="仿宋_GB2312" w:hAnsi="仿宋_GB2312" w:eastAsia="仿宋_GB2312" w:cs="仿宋_GB2312"/>
              <w:b w:val="0"/>
              <w:bCs w:val="0"/>
              <w:sz w:val="26"/>
              <w:szCs w:val="26"/>
            </w:rPr>
            <w:fldChar w:fldCharType="begin"/>
          </w:r>
          <w:r>
            <w:rPr>
              <w:rFonts w:hint="eastAsia" w:ascii="仿宋_GB2312" w:hAnsi="仿宋_GB2312" w:eastAsia="仿宋_GB2312" w:cs="仿宋_GB2312"/>
              <w:b w:val="0"/>
              <w:bCs w:val="0"/>
              <w:sz w:val="26"/>
              <w:szCs w:val="26"/>
            </w:rPr>
            <w:instrText xml:space="preserve"> HYPERLINK \l "_Toc226466347" </w:instrText>
          </w:r>
          <w:r>
            <w:rPr>
              <w:rFonts w:hint="eastAsia" w:ascii="仿宋_GB2312" w:hAnsi="仿宋_GB2312" w:eastAsia="仿宋_GB2312" w:cs="仿宋_GB2312"/>
              <w:b w:val="0"/>
              <w:bCs w:val="0"/>
              <w:sz w:val="26"/>
              <w:szCs w:val="26"/>
            </w:rPr>
            <w:fldChar w:fldCharType="separate"/>
          </w:r>
          <w:r>
            <w:rPr>
              <w:rStyle w:val="10"/>
              <w:rFonts w:hint="eastAsia" w:ascii="仿宋_GB2312" w:hAnsi="仿宋_GB2312" w:eastAsia="仿宋_GB2312" w:cs="仿宋_GB2312"/>
              <w:b w:val="0"/>
              <w:bCs w:val="0"/>
              <w:sz w:val="26"/>
              <w:szCs w:val="26"/>
            </w:rPr>
            <w:t>多模态磁共振成像在中医药治疗脑卒中后睡眠障碍中的机制研究与模型构建</w:t>
          </w:r>
          <w:r>
            <w:rPr>
              <w:rFonts w:hint="eastAsia" w:ascii="仿宋_GB2312" w:hAnsi="仿宋_GB2312" w:eastAsia="仿宋_GB2312" w:cs="仿宋_GB2312"/>
              <w:b w:val="0"/>
              <w:bCs w:val="0"/>
              <w:sz w:val="26"/>
              <w:szCs w:val="26"/>
            </w:rPr>
            <w:tab/>
          </w:r>
          <w:r>
            <w:rPr>
              <w:rFonts w:hint="eastAsia" w:ascii="仿宋_GB2312" w:hAnsi="仿宋_GB2312" w:eastAsia="仿宋_GB2312" w:cs="仿宋_GB2312"/>
              <w:b w:val="0"/>
              <w:bCs w:val="0"/>
              <w:sz w:val="26"/>
              <w:szCs w:val="26"/>
            </w:rPr>
            <w:fldChar w:fldCharType="begin"/>
          </w:r>
          <w:r>
            <w:rPr>
              <w:rFonts w:hint="eastAsia" w:ascii="仿宋_GB2312" w:hAnsi="仿宋_GB2312" w:eastAsia="仿宋_GB2312" w:cs="仿宋_GB2312"/>
              <w:b w:val="0"/>
              <w:bCs w:val="0"/>
              <w:sz w:val="26"/>
              <w:szCs w:val="26"/>
            </w:rPr>
            <w:instrText xml:space="preserve"> PAGEREF _Toc226466347 \h </w:instrText>
          </w:r>
          <w:r>
            <w:rPr>
              <w:rFonts w:hint="eastAsia" w:ascii="仿宋_GB2312" w:hAnsi="仿宋_GB2312" w:eastAsia="仿宋_GB2312" w:cs="仿宋_GB2312"/>
              <w:b w:val="0"/>
              <w:bCs w:val="0"/>
              <w:sz w:val="26"/>
              <w:szCs w:val="26"/>
            </w:rPr>
            <w:fldChar w:fldCharType="separate"/>
          </w:r>
          <w:r>
            <w:rPr>
              <w:rFonts w:hint="eastAsia" w:ascii="仿宋_GB2312" w:hAnsi="仿宋_GB2312" w:eastAsia="仿宋_GB2312" w:cs="仿宋_GB2312"/>
              <w:b w:val="0"/>
              <w:bCs w:val="0"/>
              <w:sz w:val="26"/>
              <w:szCs w:val="26"/>
            </w:rPr>
            <w:t>3</w:t>
          </w:r>
          <w:r>
            <w:rPr>
              <w:rFonts w:hint="eastAsia" w:ascii="仿宋_GB2312" w:hAnsi="仿宋_GB2312" w:eastAsia="仿宋_GB2312" w:cs="仿宋_GB2312"/>
              <w:b w:val="0"/>
              <w:bCs w:val="0"/>
              <w:sz w:val="26"/>
              <w:szCs w:val="26"/>
            </w:rPr>
            <w:fldChar w:fldCharType="end"/>
          </w:r>
          <w:r>
            <w:rPr>
              <w:rFonts w:hint="eastAsia" w:ascii="仿宋_GB2312" w:hAnsi="仿宋_GB2312" w:eastAsia="仿宋_GB2312" w:cs="仿宋_GB2312"/>
              <w:b w:val="0"/>
              <w:bCs w:val="0"/>
              <w:sz w:val="26"/>
              <w:szCs w:val="26"/>
            </w:rPr>
            <w:fldChar w:fldCharType="end"/>
          </w:r>
        </w:p>
        <w:p w14:paraId="4D77629B">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b w:val="0"/>
              <w:bCs w:val="0"/>
              <w:sz w:val="26"/>
              <w:szCs w:val="26"/>
            </w:rPr>
            <w:fldChar w:fldCharType="begin"/>
          </w:r>
          <w:r>
            <w:rPr>
              <w:rFonts w:hint="eastAsia" w:ascii="仿宋_GB2312" w:hAnsi="仿宋_GB2312" w:eastAsia="仿宋_GB2312" w:cs="仿宋_GB2312"/>
              <w:b w:val="0"/>
              <w:bCs w:val="0"/>
              <w:sz w:val="26"/>
              <w:szCs w:val="26"/>
            </w:rPr>
            <w:instrText xml:space="preserve"> HYPERLINK \l "_Toc226466348" </w:instrText>
          </w:r>
          <w:r>
            <w:rPr>
              <w:rFonts w:hint="eastAsia" w:ascii="仿宋_GB2312" w:hAnsi="仿宋_GB2312" w:eastAsia="仿宋_GB2312" w:cs="仿宋_GB2312"/>
              <w:b w:val="0"/>
              <w:bCs w:val="0"/>
              <w:sz w:val="26"/>
              <w:szCs w:val="26"/>
            </w:rPr>
            <w:fldChar w:fldCharType="separate"/>
          </w:r>
          <w:r>
            <w:rPr>
              <w:rStyle w:val="10"/>
              <w:rFonts w:hint="eastAsia" w:ascii="仿宋_GB2312" w:hAnsi="仿宋_GB2312" w:eastAsia="仿宋_GB2312" w:cs="仿宋_GB2312"/>
              <w:b w:val="0"/>
              <w:bCs w:val="0"/>
              <w:sz w:val="26"/>
              <w:szCs w:val="26"/>
            </w:rPr>
            <w:t>基于多模态磁共振成像与人工智能对糖尿病脑病早期风险预测及智能评估研究</w:t>
          </w:r>
          <w:r>
            <w:rPr>
              <w:rFonts w:hint="eastAsia" w:ascii="仿宋_GB2312" w:hAnsi="仿宋_GB2312" w:eastAsia="仿宋_GB2312" w:cs="仿宋_GB2312"/>
              <w:b w:val="0"/>
              <w:bCs w:val="0"/>
              <w:sz w:val="26"/>
              <w:szCs w:val="26"/>
            </w:rPr>
            <w:tab/>
          </w:r>
          <w:r>
            <w:rPr>
              <w:rFonts w:hint="eastAsia" w:ascii="仿宋_GB2312" w:hAnsi="仿宋_GB2312" w:eastAsia="仿宋_GB2312" w:cs="仿宋_GB2312"/>
              <w:b w:val="0"/>
              <w:bCs w:val="0"/>
              <w:sz w:val="26"/>
              <w:szCs w:val="26"/>
            </w:rPr>
            <w:fldChar w:fldCharType="begin"/>
          </w:r>
          <w:r>
            <w:rPr>
              <w:rFonts w:hint="eastAsia" w:ascii="仿宋_GB2312" w:hAnsi="仿宋_GB2312" w:eastAsia="仿宋_GB2312" w:cs="仿宋_GB2312"/>
              <w:b w:val="0"/>
              <w:bCs w:val="0"/>
              <w:sz w:val="26"/>
              <w:szCs w:val="26"/>
            </w:rPr>
            <w:instrText xml:space="preserve"> PAGEREF _Toc226466348 \h </w:instrText>
          </w:r>
          <w:r>
            <w:rPr>
              <w:rFonts w:hint="eastAsia" w:ascii="仿宋_GB2312" w:hAnsi="仿宋_GB2312" w:eastAsia="仿宋_GB2312" w:cs="仿宋_GB2312"/>
              <w:b w:val="0"/>
              <w:bCs w:val="0"/>
              <w:sz w:val="26"/>
              <w:szCs w:val="26"/>
            </w:rPr>
            <w:fldChar w:fldCharType="separate"/>
          </w:r>
          <w:r>
            <w:rPr>
              <w:rFonts w:hint="eastAsia" w:ascii="仿宋_GB2312" w:hAnsi="仿宋_GB2312" w:eastAsia="仿宋_GB2312" w:cs="仿宋_GB2312"/>
              <w:b w:val="0"/>
              <w:bCs w:val="0"/>
              <w:sz w:val="26"/>
              <w:szCs w:val="26"/>
            </w:rPr>
            <w:t>5</w:t>
          </w:r>
          <w:r>
            <w:rPr>
              <w:rFonts w:hint="eastAsia" w:ascii="仿宋_GB2312" w:hAnsi="仿宋_GB2312" w:eastAsia="仿宋_GB2312" w:cs="仿宋_GB2312"/>
              <w:b w:val="0"/>
              <w:bCs w:val="0"/>
              <w:sz w:val="26"/>
              <w:szCs w:val="26"/>
            </w:rPr>
            <w:fldChar w:fldCharType="end"/>
          </w:r>
          <w:r>
            <w:rPr>
              <w:rFonts w:hint="eastAsia" w:ascii="仿宋_GB2312" w:hAnsi="仿宋_GB2312" w:eastAsia="仿宋_GB2312" w:cs="仿宋_GB2312"/>
              <w:b w:val="0"/>
              <w:bCs w:val="0"/>
              <w:sz w:val="26"/>
              <w:szCs w:val="26"/>
            </w:rPr>
            <w:fldChar w:fldCharType="end"/>
          </w:r>
        </w:p>
        <w:p w14:paraId="780EC380">
          <w:pPr>
            <w:pStyle w:val="6"/>
            <w:tabs>
              <w:tab w:val="right" w:leader="dot" w:pos="8296"/>
            </w:tabs>
            <w:rPr>
              <w:rFonts w:hint="eastAsia" w:ascii="仿宋_GB2312" w:hAnsi="仿宋_GB2312" w:eastAsia="仿宋_GB2312" w:cs="仿宋_GB2312"/>
              <w:b/>
              <w:bCs/>
              <w:kern w:val="2"/>
              <w:sz w:val="26"/>
              <w:szCs w:val="26"/>
            </w:rPr>
          </w:pPr>
          <w:r>
            <w:rPr>
              <w:rFonts w:hint="eastAsia" w:ascii="仿宋_GB2312" w:hAnsi="仿宋_GB2312" w:eastAsia="仿宋_GB2312" w:cs="仿宋_GB2312"/>
              <w:b/>
              <w:bCs/>
              <w:sz w:val="26"/>
              <w:szCs w:val="26"/>
            </w:rPr>
            <w:fldChar w:fldCharType="begin"/>
          </w:r>
          <w:r>
            <w:rPr>
              <w:rFonts w:hint="eastAsia" w:ascii="仿宋_GB2312" w:hAnsi="仿宋_GB2312" w:eastAsia="仿宋_GB2312" w:cs="仿宋_GB2312"/>
              <w:b/>
              <w:bCs/>
              <w:sz w:val="26"/>
              <w:szCs w:val="26"/>
            </w:rPr>
            <w:instrText xml:space="preserve"> HYPERLINK \l "_Toc226466349" </w:instrText>
          </w:r>
          <w:r>
            <w:rPr>
              <w:rFonts w:hint="eastAsia" w:ascii="仿宋_GB2312" w:hAnsi="仿宋_GB2312" w:eastAsia="仿宋_GB2312" w:cs="仿宋_GB2312"/>
              <w:b/>
              <w:bCs/>
              <w:sz w:val="26"/>
              <w:szCs w:val="26"/>
            </w:rPr>
            <w:fldChar w:fldCharType="separate"/>
          </w:r>
          <w:r>
            <w:rPr>
              <w:rStyle w:val="10"/>
              <w:rFonts w:hint="eastAsia" w:ascii="仿宋_GB2312" w:hAnsi="仿宋_GB2312" w:eastAsia="仿宋_GB2312" w:cs="仿宋_GB2312"/>
              <w:b/>
              <w:bCs/>
              <w:sz w:val="26"/>
              <w:szCs w:val="26"/>
            </w:rPr>
            <w:t>MI部分</w:t>
          </w:r>
          <w:r>
            <w:rPr>
              <w:rFonts w:hint="eastAsia" w:ascii="仿宋_GB2312" w:hAnsi="仿宋_GB2312" w:eastAsia="仿宋_GB2312" w:cs="仿宋_GB2312"/>
              <w:b/>
              <w:bCs/>
              <w:sz w:val="26"/>
              <w:szCs w:val="26"/>
            </w:rPr>
            <w:tab/>
          </w:r>
          <w:r>
            <w:rPr>
              <w:rFonts w:hint="eastAsia" w:ascii="仿宋_GB2312" w:hAnsi="仿宋_GB2312" w:eastAsia="仿宋_GB2312" w:cs="仿宋_GB2312"/>
              <w:b/>
              <w:bCs/>
              <w:sz w:val="26"/>
              <w:szCs w:val="26"/>
            </w:rPr>
            <w:fldChar w:fldCharType="begin"/>
          </w:r>
          <w:r>
            <w:rPr>
              <w:rFonts w:hint="eastAsia" w:ascii="仿宋_GB2312" w:hAnsi="仿宋_GB2312" w:eastAsia="仿宋_GB2312" w:cs="仿宋_GB2312"/>
              <w:b/>
              <w:bCs/>
              <w:sz w:val="26"/>
              <w:szCs w:val="26"/>
            </w:rPr>
            <w:instrText xml:space="preserve"> PAGEREF _Toc226466349 \h </w:instrText>
          </w:r>
          <w:r>
            <w:rPr>
              <w:rFonts w:hint="eastAsia" w:ascii="仿宋_GB2312" w:hAnsi="仿宋_GB2312" w:eastAsia="仿宋_GB2312" w:cs="仿宋_GB2312"/>
              <w:b/>
              <w:bCs/>
              <w:sz w:val="26"/>
              <w:szCs w:val="26"/>
            </w:rPr>
            <w:fldChar w:fldCharType="separate"/>
          </w:r>
          <w:r>
            <w:rPr>
              <w:rFonts w:hint="eastAsia" w:ascii="仿宋_GB2312" w:hAnsi="仿宋_GB2312" w:eastAsia="仿宋_GB2312" w:cs="仿宋_GB2312"/>
              <w:b/>
              <w:bCs/>
              <w:sz w:val="26"/>
              <w:szCs w:val="26"/>
            </w:rPr>
            <w:t>7</w:t>
          </w:r>
          <w:r>
            <w:rPr>
              <w:rFonts w:hint="eastAsia" w:ascii="仿宋_GB2312" w:hAnsi="仿宋_GB2312" w:eastAsia="仿宋_GB2312" w:cs="仿宋_GB2312"/>
              <w:b/>
              <w:bCs/>
              <w:sz w:val="26"/>
              <w:szCs w:val="26"/>
            </w:rPr>
            <w:fldChar w:fldCharType="end"/>
          </w:r>
          <w:r>
            <w:rPr>
              <w:rFonts w:hint="eastAsia" w:ascii="仿宋_GB2312" w:hAnsi="仿宋_GB2312" w:eastAsia="仿宋_GB2312" w:cs="仿宋_GB2312"/>
              <w:b/>
              <w:bCs/>
              <w:sz w:val="26"/>
              <w:szCs w:val="26"/>
            </w:rPr>
            <w:fldChar w:fldCharType="end"/>
          </w:r>
        </w:p>
        <w:p w14:paraId="696EF49E">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"_Toc226466350"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AI迭代重建技术优化68Ga-FAPI-46 PET-CT腹部肿瘤腹膜转移诊断研究</w:t>
          </w:r>
          <w:r>
            <w:rPr>
              <w:rStyle w:val="10"/>
              <w:rFonts w:hint="eastAsia" w:ascii="仿宋_GB2312" w:hAnsi="仿宋_GB2312" w:eastAsia="仿宋_GB2312" w:cs="仿宋_GB2312"/>
              <w:bCs/>
              <w:sz w:val="26"/>
              <w:szCs w:val="26"/>
              <w:lang w:val="en-US" w:eastAsia="zh-CN"/>
            </w:rPr>
            <w:t xml:space="preserve"> </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_Toc226466350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7</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60AB399F">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"_Toc226466351"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PET/MR多模态影像参数联合病理分子标志物在前列腺癌诊断及复发风险分层预测中的研究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_Toc226466351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9</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23CE7C01">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"_Toc226466352"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呼吸运动校正在上腹部18F-FDG PET/CT中的临床应用价值研究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_Toc226466352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11</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4377F3C7">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"_Toc226466353"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基于18F-FDG PET/CT深度学习迭代重建技术的肺腺癌多病理侵犯术前预测研究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_Toc226466353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13</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6BCFE2B8">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"_Toc226466354"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深度学习重建算法结合儿科专用摆位装置在学龄前患者PET/CT快速成像与低剂量成像中的应用价值研究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_Toc226466354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15</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2139AD59">
          <w:pPr>
            <w:pStyle w:val="6"/>
            <w:tabs>
              <w:tab w:val="right" w:leader="dot" w:pos="8296"/>
            </w:tabs>
            <w:jc w:val="center"/>
            <w:rPr>
              <w:rFonts w:hint="eastAsia" w:ascii="仿宋_GB2312" w:hAnsi="仿宋_GB2312" w:eastAsia="仿宋_GB2312" w:cs="仿宋_GB2312"/>
              <w:b/>
              <w:bCs/>
              <w:kern w:val="2"/>
              <w:sz w:val="26"/>
              <w:szCs w:val="26"/>
            </w:rPr>
          </w:pPr>
          <w:r>
            <w:rPr>
              <w:rFonts w:hint="eastAsia" w:ascii="仿宋_GB2312" w:hAnsi="仿宋_GB2312" w:eastAsia="仿宋_GB2312" w:cs="仿宋_GB2312"/>
              <w:b/>
              <w:bCs/>
              <w:sz w:val="26"/>
              <w:szCs w:val="26"/>
            </w:rPr>
            <w:fldChar w:fldCharType="begin"/>
          </w:r>
          <w:r>
            <w:rPr>
              <w:rFonts w:hint="eastAsia" w:ascii="仿宋_GB2312" w:hAnsi="仿宋_GB2312" w:eastAsia="仿宋_GB2312" w:cs="仿宋_GB2312"/>
              <w:b/>
              <w:bCs/>
              <w:sz w:val="26"/>
              <w:szCs w:val="26"/>
            </w:rPr>
            <w:instrText xml:space="preserve"> HYPERLINK \l "_Toc226466355" </w:instrText>
          </w:r>
          <w:r>
            <w:rPr>
              <w:rFonts w:hint="eastAsia" w:ascii="仿宋_GB2312" w:hAnsi="仿宋_GB2312" w:eastAsia="仿宋_GB2312" w:cs="仿宋_GB2312"/>
              <w:b/>
              <w:bCs/>
              <w:sz w:val="26"/>
              <w:szCs w:val="26"/>
            </w:rPr>
            <w:fldChar w:fldCharType="separate"/>
          </w:r>
          <w:r>
            <w:rPr>
              <w:rStyle w:val="10"/>
              <w:rFonts w:hint="eastAsia" w:ascii="仿宋_GB2312" w:hAnsi="仿宋_GB2312" w:eastAsia="仿宋_GB2312" w:cs="仿宋_GB2312"/>
              <w:b/>
              <w:bCs/>
              <w:sz w:val="26"/>
              <w:szCs w:val="26"/>
            </w:rPr>
            <w:t>CT部分</w:t>
          </w:r>
          <w:r>
            <w:rPr>
              <w:rFonts w:hint="eastAsia" w:ascii="仿宋_GB2312" w:hAnsi="仿宋_GB2312" w:eastAsia="仿宋_GB2312" w:cs="仿宋_GB2312"/>
              <w:b/>
              <w:bCs/>
              <w:sz w:val="26"/>
              <w:szCs w:val="26"/>
            </w:rPr>
            <w:tab/>
          </w:r>
          <w:r>
            <w:rPr>
              <w:rFonts w:hint="eastAsia" w:ascii="仿宋_GB2312" w:hAnsi="仿宋_GB2312" w:eastAsia="仿宋_GB2312" w:cs="仿宋_GB2312"/>
              <w:b/>
              <w:bCs/>
              <w:sz w:val="26"/>
              <w:szCs w:val="26"/>
            </w:rPr>
            <w:fldChar w:fldCharType="begin"/>
          </w:r>
          <w:r>
            <w:rPr>
              <w:rFonts w:hint="eastAsia" w:ascii="仿宋_GB2312" w:hAnsi="仿宋_GB2312" w:eastAsia="仿宋_GB2312" w:cs="仿宋_GB2312"/>
              <w:b/>
              <w:bCs/>
              <w:sz w:val="26"/>
              <w:szCs w:val="26"/>
            </w:rPr>
            <w:instrText xml:space="preserve"> PAGEREF _Toc226466355 \h </w:instrText>
          </w:r>
          <w:r>
            <w:rPr>
              <w:rFonts w:hint="eastAsia" w:ascii="仿宋_GB2312" w:hAnsi="仿宋_GB2312" w:eastAsia="仿宋_GB2312" w:cs="仿宋_GB2312"/>
              <w:b/>
              <w:bCs/>
              <w:sz w:val="26"/>
              <w:szCs w:val="26"/>
            </w:rPr>
            <w:fldChar w:fldCharType="separate"/>
          </w:r>
          <w:r>
            <w:rPr>
              <w:rFonts w:hint="eastAsia" w:ascii="仿宋_GB2312" w:hAnsi="仿宋_GB2312" w:eastAsia="仿宋_GB2312" w:cs="仿宋_GB2312"/>
              <w:b/>
              <w:bCs/>
              <w:sz w:val="26"/>
              <w:szCs w:val="26"/>
            </w:rPr>
            <w:t>17</w:t>
          </w:r>
          <w:r>
            <w:rPr>
              <w:rFonts w:hint="eastAsia" w:ascii="仿宋_GB2312" w:hAnsi="仿宋_GB2312" w:eastAsia="仿宋_GB2312" w:cs="仿宋_GB2312"/>
              <w:b/>
              <w:bCs/>
              <w:sz w:val="26"/>
              <w:szCs w:val="26"/>
            </w:rPr>
            <w:fldChar w:fldCharType="end"/>
          </w:r>
          <w:r>
            <w:rPr>
              <w:rFonts w:hint="eastAsia" w:ascii="仿宋_GB2312" w:hAnsi="仿宋_GB2312" w:eastAsia="仿宋_GB2312" w:cs="仿宋_GB2312"/>
              <w:b/>
              <w:bCs/>
              <w:sz w:val="26"/>
              <w:szCs w:val="26"/>
            </w:rPr>
            <w:fldChar w:fldCharType="end"/>
          </w:r>
        </w:p>
        <w:p w14:paraId="3CBBF697">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"_Toc226466356"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国产超高端CT在急腹症患者扫描中的诊断价值和应用研究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_Toc226466356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17</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7E1248A7">
          <w:pPr>
            <w:pStyle w:val="6"/>
            <w:tabs>
              <w:tab w:val="right" w:leader="dot" w:pos="8296"/>
            </w:tabs>
            <w:rPr>
              <w:rFonts w:hint="eastAsia" w:ascii="仿宋_GB2312" w:hAnsi="仿宋_GB2312" w:eastAsia="仿宋_GB2312" w:cs="仿宋_GB2312"/>
              <w:sz w:val="26"/>
              <w:szCs w:val="26"/>
            </w:rPr>
            <w:sectPr>
              <w:footerReference r:id="rId3" w:type="default"/>
              <w:pgSz w:w="11906" w:h="16838"/>
              <w:pgMar w:top="1440" w:right="1800" w:bottom="1440" w:left="1800" w:header="851" w:footer="992" w:gutter="0"/>
              <w:pgNumType w:fmt="decimal" w:start="3"/>
              <w:cols w:space="425" w:num="1"/>
              <w:docGrid w:type="lines" w:linePitch="312" w:charSpace="0"/>
            </w:sectPr>
          </w:pPr>
        </w:p>
        <w:p w14:paraId="11EFCEBB">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"_Toc226466357"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基于人工智能算法重建2型糖尿病豆纹动脉CTA可视化及临床应用研究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_Toc226466357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18</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37DAA789">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"_Toc226466358"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面向糖尿病足精准诊疗的多模态影像应用方案构建及人工智能辅助评估模型研究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_Toc226466358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20</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5A5A172C">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"_Toc226466359"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人工智能重建算法的多部位CT影像优化与临床应用价值评估</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_Toc226466359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21</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4D37DC1C">
          <w:pPr>
            <w:pStyle w:val="6"/>
            <w:tabs>
              <w:tab w:val="right" w:leader="dot" w:pos="8296"/>
            </w:tabs>
            <w:rPr>
              <w:rFonts w:hint="eastAsia" w:ascii="仿宋_GB2312" w:hAnsi="仿宋_GB2312" w:eastAsia="仿宋_GB2312" w:cs="仿宋_GB2312"/>
              <w:b/>
              <w:bCs/>
              <w:kern w:val="2"/>
              <w:sz w:val="26"/>
              <w:szCs w:val="26"/>
            </w:rPr>
          </w:pPr>
          <w:r>
            <w:rPr>
              <w:rFonts w:hint="eastAsia" w:ascii="仿宋_GB2312" w:hAnsi="仿宋_GB2312" w:eastAsia="仿宋_GB2312" w:cs="仿宋_GB2312"/>
              <w:b/>
              <w:bCs/>
              <w:sz w:val="26"/>
              <w:szCs w:val="26"/>
            </w:rPr>
            <w:fldChar w:fldCharType="begin"/>
          </w:r>
          <w:r>
            <w:rPr>
              <w:rFonts w:hint="eastAsia" w:ascii="仿宋_GB2312" w:hAnsi="仿宋_GB2312" w:eastAsia="仿宋_GB2312" w:cs="仿宋_GB2312"/>
              <w:b/>
              <w:bCs/>
              <w:sz w:val="26"/>
              <w:szCs w:val="26"/>
            </w:rPr>
            <w:instrText xml:space="preserve"> HYPERLINK \l "_Toc226466360" </w:instrText>
          </w:r>
          <w:r>
            <w:rPr>
              <w:rFonts w:hint="eastAsia" w:ascii="仿宋_GB2312" w:hAnsi="仿宋_GB2312" w:eastAsia="仿宋_GB2312" w:cs="仿宋_GB2312"/>
              <w:b/>
              <w:bCs/>
              <w:sz w:val="26"/>
              <w:szCs w:val="26"/>
            </w:rPr>
            <w:fldChar w:fldCharType="separate"/>
          </w:r>
          <w:r>
            <w:rPr>
              <w:rStyle w:val="10"/>
              <w:rFonts w:hint="eastAsia" w:ascii="仿宋_GB2312" w:hAnsi="仿宋_GB2312" w:eastAsia="仿宋_GB2312" w:cs="仿宋_GB2312"/>
              <w:b/>
              <w:bCs/>
              <w:sz w:val="26"/>
              <w:szCs w:val="26"/>
            </w:rPr>
            <w:t>多中心项目</w:t>
          </w:r>
          <w:r>
            <w:rPr>
              <w:rFonts w:hint="eastAsia" w:ascii="仿宋_GB2312" w:hAnsi="仿宋_GB2312" w:eastAsia="仿宋_GB2312" w:cs="仿宋_GB2312"/>
              <w:b/>
              <w:bCs/>
              <w:sz w:val="26"/>
              <w:szCs w:val="26"/>
            </w:rPr>
            <w:tab/>
          </w:r>
          <w:r>
            <w:rPr>
              <w:rFonts w:hint="eastAsia" w:ascii="仿宋_GB2312" w:hAnsi="仿宋_GB2312" w:eastAsia="仿宋_GB2312" w:cs="仿宋_GB2312"/>
              <w:b/>
              <w:bCs/>
              <w:sz w:val="26"/>
              <w:szCs w:val="26"/>
            </w:rPr>
            <w:fldChar w:fldCharType="begin"/>
          </w:r>
          <w:r>
            <w:rPr>
              <w:rFonts w:hint="eastAsia" w:ascii="仿宋_GB2312" w:hAnsi="仿宋_GB2312" w:eastAsia="仿宋_GB2312" w:cs="仿宋_GB2312"/>
              <w:b/>
              <w:bCs/>
              <w:sz w:val="26"/>
              <w:szCs w:val="26"/>
            </w:rPr>
            <w:instrText xml:space="preserve"> PAGEREF _Toc226466360 \h </w:instrText>
          </w:r>
          <w:r>
            <w:rPr>
              <w:rFonts w:hint="eastAsia" w:ascii="仿宋_GB2312" w:hAnsi="仿宋_GB2312" w:eastAsia="仿宋_GB2312" w:cs="仿宋_GB2312"/>
              <w:b/>
              <w:bCs/>
              <w:sz w:val="26"/>
              <w:szCs w:val="26"/>
            </w:rPr>
            <w:fldChar w:fldCharType="separate"/>
          </w:r>
          <w:r>
            <w:rPr>
              <w:rFonts w:hint="eastAsia" w:ascii="仿宋_GB2312" w:hAnsi="仿宋_GB2312" w:eastAsia="仿宋_GB2312" w:cs="仿宋_GB2312"/>
              <w:b/>
              <w:bCs/>
              <w:sz w:val="26"/>
              <w:szCs w:val="26"/>
            </w:rPr>
            <w:t>23</w:t>
          </w:r>
          <w:r>
            <w:rPr>
              <w:rFonts w:hint="eastAsia" w:ascii="仿宋_GB2312" w:hAnsi="仿宋_GB2312" w:eastAsia="仿宋_GB2312" w:cs="仿宋_GB2312"/>
              <w:b/>
              <w:bCs/>
              <w:sz w:val="26"/>
              <w:szCs w:val="26"/>
            </w:rPr>
            <w:fldChar w:fldCharType="end"/>
          </w:r>
          <w:r>
            <w:rPr>
              <w:rFonts w:hint="eastAsia" w:ascii="仿宋_GB2312" w:hAnsi="仿宋_GB2312" w:eastAsia="仿宋_GB2312" w:cs="仿宋_GB2312"/>
              <w:b/>
              <w:bCs/>
              <w:sz w:val="26"/>
              <w:szCs w:val="26"/>
            </w:rPr>
            <w:fldChar w:fldCharType="end"/>
          </w:r>
        </w:p>
        <w:p w14:paraId="7303F1F0">
          <w:pPr>
            <w:pStyle w:val="6"/>
            <w:tabs>
              <w:tab w:val="right" w:leader="dot" w:pos="8296"/>
            </w:tabs>
            <w:rPr>
              <w:rFonts w:hint="eastAsia" w:ascii="仿宋_GB2312" w:hAnsi="仿宋_GB2312" w:eastAsia="仿宋_GB2312" w:cs="仿宋_GB2312"/>
              <w:kern w:val="2"/>
              <w:sz w:val="26"/>
              <w:szCs w:val="26"/>
            </w:rPr>
          </w:pP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HYPERLINK \l "_Toc226466361" </w:instrText>
          </w:r>
          <w:r>
            <w:rPr>
              <w:rFonts w:hint="eastAsia" w:ascii="仿宋_GB2312" w:hAnsi="仿宋_GB2312" w:eastAsia="仿宋_GB2312" w:cs="仿宋_GB2312"/>
              <w:sz w:val="26"/>
              <w:szCs w:val="26"/>
            </w:rPr>
            <w:fldChar w:fldCharType="separate"/>
          </w:r>
          <w:r>
            <w:rPr>
              <w:rStyle w:val="10"/>
              <w:rFonts w:hint="eastAsia" w:ascii="仿宋_GB2312" w:hAnsi="仿宋_GB2312" w:eastAsia="仿宋_GB2312" w:cs="仿宋_GB2312"/>
              <w:bCs/>
              <w:sz w:val="26"/>
              <w:szCs w:val="26"/>
            </w:rPr>
            <w:t>基于急性阑尾病变验证可嵌入临床流程的AI分诊系统的研究</w:t>
          </w:r>
          <w:r>
            <w:rPr>
              <w:rFonts w:hint="eastAsia" w:ascii="仿宋_GB2312" w:hAnsi="仿宋_GB2312" w:eastAsia="仿宋_GB2312" w:cs="仿宋_GB2312"/>
              <w:sz w:val="26"/>
              <w:szCs w:val="26"/>
            </w:rPr>
            <w:tab/>
          </w:r>
          <w:r>
            <w:rPr>
              <w:rFonts w:hint="eastAsia" w:ascii="仿宋_GB2312" w:hAnsi="仿宋_GB2312" w:eastAsia="仿宋_GB2312" w:cs="仿宋_GB2312"/>
              <w:sz w:val="26"/>
              <w:szCs w:val="26"/>
            </w:rPr>
            <w:fldChar w:fldCharType="begin"/>
          </w:r>
          <w:r>
            <w:rPr>
              <w:rFonts w:hint="eastAsia" w:ascii="仿宋_GB2312" w:hAnsi="仿宋_GB2312" w:eastAsia="仿宋_GB2312" w:cs="仿宋_GB2312"/>
              <w:sz w:val="26"/>
              <w:szCs w:val="26"/>
            </w:rPr>
            <w:instrText xml:space="preserve"> PAGEREF _Toc226466361 \h </w:instrText>
          </w:r>
          <w:r>
            <w:rPr>
              <w:rFonts w:hint="eastAsia" w:ascii="仿宋_GB2312" w:hAnsi="仿宋_GB2312" w:eastAsia="仿宋_GB2312" w:cs="仿宋_GB2312"/>
              <w:sz w:val="26"/>
              <w:szCs w:val="26"/>
            </w:rPr>
            <w:fldChar w:fldCharType="separate"/>
          </w:r>
          <w:r>
            <w:rPr>
              <w:rFonts w:hint="eastAsia" w:ascii="仿宋_GB2312" w:hAnsi="仿宋_GB2312" w:eastAsia="仿宋_GB2312" w:cs="仿宋_GB2312"/>
              <w:sz w:val="26"/>
              <w:szCs w:val="26"/>
            </w:rPr>
            <w:t>23</w:t>
          </w:r>
          <w:r>
            <w:rPr>
              <w:rFonts w:hint="eastAsia" w:ascii="仿宋_GB2312" w:hAnsi="仿宋_GB2312" w:eastAsia="仿宋_GB2312" w:cs="仿宋_GB2312"/>
              <w:sz w:val="26"/>
              <w:szCs w:val="26"/>
            </w:rPr>
            <w:fldChar w:fldCharType="end"/>
          </w:r>
          <w:r>
            <w:rPr>
              <w:rFonts w:hint="eastAsia" w:ascii="仿宋_GB2312" w:hAnsi="仿宋_GB2312" w:eastAsia="仿宋_GB2312" w:cs="仿宋_GB2312"/>
              <w:sz w:val="26"/>
              <w:szCs w:val="26"/>
            </w:rPr>
            <w:fldChar w:fldCharType="end"/>
          </w:r>
        </w:p>
        <w:p w14:paraId="411FBF2D">
          <w:r>
            <w:rPr>
              <w:b/>
              <w:bCs/>
              <w:lang w:val="zh-CN"/>
            </w:rPr>
            <w:fldChar w:fldCharType="end"/>
          </w:r>
        </w:p>
      </w:sdtContent>
    </w:sdt>
    <w:p w14:paraId="6551C27B">
      <w:pPr>
        <w:keepNext w:val="0"/>
        <w:keepLines w:val="0"/>
        <w:pageBreakBefore w:val="0"/>
        <w:kinsoku/>
        <w:wordWrap/>
        <w:overflowPunct/>
        <w:topLinePunct w:val="0"/>
        <w:autoSpaceDE/>
        <w:autoSpaceDN/>
        <w:bidi w:val="0"/>
        <w:adjustRightInd w:val="0"/>
        <w:snapToGrid w:val="0"/>
        <w:spacing w:line="560" w:lineRule="exact"/>
        <w:jc w:val="left"/>
        <w:textAlignment w:val="auto"/>
        <w:outlineLvl w:val="0"/>
        <w:rPr>
          <w:rFonts w:hint="eastAsia" w:ascii="仿宋_GB2312" w:hAnsi="仿宋_GB2312" w:eastAsia="仿宋_GB2312" w:cs="仿宋_GB2312"/>
          <w:bCs/>
          <w:sz w:val="32"/>
          <w:szCs w:val="32"/>
        </w:rPr>
        <w:sectPr>
          <w:footerReference r:id="rId4" w:type="default"/>
          <w:pgSz w:w="11906" w:h="16838"/>
          <w:pgMar w:top="1440" w:right="1800" w:bottom="1440" w:left="1800" w:header="851" w:footer="992" w:gutter="0"/>
          <w:pgNumType w:fmt="numberInDash" w:start="1"/>
          <w:cols w:space="425" w:num="1"/>
          <w:docGrid w:type="lines" w:linePitch="312" w:charSpace="0"/>
        </w:sectPr>
      </w:pPr>
      <w:bookmarkStart w:id="25" w:name="_GoBack"/>
      <w:bookmarkEnd w:id="25"/>
      <w:bookmarkStart w:id="0" w:name="_Toc226466345"/>
    </w:p>
    <w:p w14:paraId="675DA218">
      <w:pPr>
        <w:keepNext w:val="0"/>
        <w:keepLines w:val="0"/>
        <w:pageBreakBefore w:val="0"/>
        <w:kinsoku/>
        <w:wordWrap/>
        <w:overflowPunct/>
        <w:topLinePunct w:val="0"/>
        <w:autoSpaceDE/>
        <w:autoSpaceDN/>
        <w:bidi w:val="0"/>
        <w:adjustRightInd w:val="0"/>
        <w:snapToGrid w:val="0"/>
        <w:spacing w:line="560" w:lineRule="exact"/>
        <w:jc w:val="left"/>
        <w:textAlignment w:val="auto"/>
        <w:outlineLvl w:val="0"/>
        <w:rPr>
          <w:rFonts w:hint="eastAsia" w:ascii="仿宋_GB2312" w:hAnsi="仿宋_GB2312" w:eastAsia="仿宋_GB2312" w:cs="仿宋_GB2312"/>
          <w:b/>
          <w:bCs w:val="0"/>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MR部分</w:t>
      </w:r>
      <w:bookmarkEnd w:id="0"/>
      <w:r>
        <w:rPr>
          <w:rFonts w:hint="eastAsia" w:ascii="仿宋_GB2312" w:hAnsi="仿宋_GB2312" w:eastAsia="仿宋_GB2312" w:cs="仿宋_GB2312"/>
          <w:bCs/>
          <w:sz w:val="32"/>
          <w:szCs w:val="32"/>
        </w:rPr>
        <w:t>】</w:t>
      </w:r>
    </w:p>
    <w:p w14:paraId="2FB7E04B">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rPr>
      </w:pPr>
      <w:bookmarkStart w:id="1" w:name="_Toc226466346"/>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4</w:t>
      </w:r>
      <w:r>
        <w:rPr>
          <w:rFonts w:hint="eastAsia" w:ascii="方正小标宋简体" w:hAnsi="方正小标宋简体" w:eastAsia="方正小标宋简体" w:cs="方正小标宋简体"/>
          <w:bCs/>
          <w:sz w:val="44"/>
          <w:szCs w:val="44"/>
          <w:lang w:eastAsia="zh-CN"/>
        </w:rPr>
        <w:t>0</w:t>
      </w:r>
      <w:r>
        <w:rPr>
          <w:rFonts w:hint="eastAsia" w:ascii="方正小标宋简体" w:hAnsi="方正小标宋简体" w:eastAsia="方正小标宋简体" w:cs="方正小标宋简体"/>
          <w:bCs/>
          <w:sz w:val="44"/>
          <w:szCs w:val="44"/>
          <w:lang w:val="en-US" w:eastAsia="zh-CN"/>
        </w:rPr>
        <w:t xml:space="preserve">01 </w:t>
      </w:r>
      <w:r>
        <w:rPr>
          <w:rFonts w:hint="eastAsia" w:ascii="方正小标宋简体" w:hAnsi="方正小标宋简体" w:eastAsia="方正小标宋简体" w:cs="方正小标宋简体"/>
          <w:bCs/>
          <w:sz w:val="44"/>
          <w:szCs w:val="44"/>
        </w:rPr>
        <w:t>磁共振三维重建技术在前列腺病灶精准定位的临床应用研究</w:t>
      </w:r>
      <w:bookmarkEnd w:id="1"/>
    </w:p>
    <w:p w14:paraId="2409406A">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rPr>
      </w:pPr>
    </w:p>
    <w:p w14:paraId="3C246D1F">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磁共振成像</w:t>
      </w:r>
    </w:p>
    <w:p w14:paraId="5C7B09DD">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kern w:val="0"/>
          <w:sz w:val="32"/>
          <w:szCs w:val="32"/>
        </w:rPr>
        <w:t>主要</w:t>
      </w:r>
      <w:r>
        <w:rPr>
          <w:rFonts w:hint="eastAsia" w:ascii="仿宋_GB2312" w:hAnsi="仿宋_GB2312" w:eastAsia="仿宋_GB2312" w:cs="仿宋_GB2312"/>
          <w:b/>
          <w:bCs/>
          <w:kern w:val="0"/>
          <w:sz w:val="32"/>
          <w:szCs w:val="32"/>
          <w:lang w:val="en-US" w:eastAsia="zh-CN"/>
        </w:rPr>
        <w:t>研究</w:t>
      </w:r>
      <w:r>
        <w:rPr>
          <w:rFonts w:hint="eastAsia" w:ascii="仿宋_GB2312" w:hAnsi="仿宋_GB2312" w:eastAsia="仿宋_GB2312" w:cs="仿宋_GB2312"/>
          <w:b/>
          <w:bCs/>
          <w:kern w:val="0"/>
          <w:sz w:val="32"/>
          <w:szCs w:val="32"/>
        </w:rPr>
        <w:t>内容</w:t>
      </w:r>
    </w:p>
    <w:p w14:paraId="773647B0">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开展基于3.0T超导磁共振的前列腺高分辨率mpMRI 序列优化研究，参照PI-RADS v2.1技术规范开展高场强环境下的前列腺多参数磁共振（mpMRI）临床研究</w:t>
      </w:r>
      <w:r>
        <w:rPr>
          <w:rFonts w:hint="eastAsia" w:ascii="仿宋_GB2312" w:hAnsi="仿宋_GB2312" w:eastAsia="仿宋_GB2312" w:cs="仿宋_GB2312"/>
          <w:sz w:val="32"/>
          <w:szCs w:val="32"/>
          <w:lang w:eastAsia="zh-CN"/>
        </w:rPr>
        <w:t>。</w:t>
      </w:r>
    </w:p>
    <w:p w14:paraId="7869140F">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（1）序列参数标准化：优化高b值（≥1400 s/mm）弥散加权成像（DWI）及薄层T_2WI扫描参数，提升解剖细节显示度与信噪比</w:t>
      </w:r>
      <w:r>
        <w:rPr>
          <w:rFonts w:hint="eastAsia" w:ascii="仿宋_GB2312" w:hAnsi="仿宋_GB2312" w:eastAsia="仿宋_GB2312" w:cs="仿宋_GB2312"/>
          <w:sz w:val="32"/>
          <w:szCs w:val="32"/>
          <w:lang w:eastAsia="zh-CN"/>
        </w:rPr>
        <w:t>；</w:t>
      </w:r>
    </w:p>
    <w:p w14:paraId="72337DA8">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（2）图像质量控制：针对前列腺外周带（PZ）与移行带（TZ）的信号特点，研究并抑制直肠蠕动及磁化率伪影，确保符合 PI-RADS 标准的诊断级影像质量</w:t>
      </w:r>
      <w:r>
        <w:rPr>
          <w:rFonts w:hint="eastAsia" w:ascii="仿宋_GB2312" w:hAnsi="仿宋_GB2312" w:eastAsia="仿宋_GB2312" w:cs="仿宋_GB2312"/>
          <w:sz w:val="32"/>
          <w:szCs w:val="32"/>
          <w:lang w:eastAsia="zh-CN"/>
        </w:rPr>
        <w:t>；</w:t>
      </w:r>
    </w:p>
    <w:p w14:paraId="3C6879C3">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2.结合临床精准诊断需求建立基于PI-RADS分区的病灶空间立体定位及三维后处理流程规范</w:t>
      </w:r>
      <w:r>
        <w:rPr>
          <w:rFonts w:hint="eastAsia" w:ascii="仿宋_GB2312" w:hAnsi="仿宋_GB2312" w:eastAsia="仿宋_GB2312" w:cs="仿宋_GB2312"/>
          <w:sz w:val="32"/>
          <w:szCs w:val="32"/>
          <w:lang w:eastAsia="zh-CN"/>
        </w:rPr>
        <w:t>。</w:t>
      </w:r>
    </w:p>
    <w:p w14:paraId="0F13FEB1">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（1）解剖分区三维映射：依据PI-RADSv2.1扇形图，实现病灶在三维解剖模型中的精准分区与空间坐标赋值</w:t>
      </w:r>
      <w:r>
        <w:rPr>
          <w:rFonts w:hint="eastAsia" w:ascii="仿宋_GB2312" w:hAnsi="仿宋_GB2312" w:eastAsia="仿宋_GB2312" w:cs="仿宋_GB2312"/>
          <w:sz w:val="32"/>
          <w:szCs w:val="32"/>
          <w:lang w:eastAsia="zh-CN"/>
        </w:rPr>
        <w:t>；</w:t>
      </w:r>
    </w:p>
    <w:p w14:paraId="0D1E7F68">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（2）后处理标准SOP：规范多模态影像（T_2WI/DWI/DCE）融合、病灶边缘勾画及体积定量测算流程，确保病灶立体定位的可重复性</w:t>
      </w:r>
      <w:r>
        <w:rPr>
          <w:rFonts w:hint="eastAsia" w:ascii="仿宋_GB2312" w:hAnsi="仿宋_GB2312" w:eastAsia="仿宋_GB2312" w:cs="仿宋_GB2312"/>
          <w:sz w:val="32"/>
          <w:szCs w:val="32"/>
          <w:lang w:eastAsia="zh-CN"/>
        </w:rPr>
        <w:t>；</w:t>
      </w:r>
    </w:p>
    <w:p w14:paraId="660A679C">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3.开展三维后处理图像的诊断效能评估及临床价值研究，由专业影像医师团队对三维重建结果进行多维度评价，验证其对临床决策的辅助作用</w:t>
      </w:r>
      <w:r>
        <w:rPr>
          <w:rFonts w:hint="eastAsia" w:ascii="仿宋_GB2312" w:hAnsi="仿宋_GB2312" w:eastAsia="仿宋_GB2312" w:cs="仿宋_GB2312"/>
          <w:sz w:val="32"/>
          <w:szCs w:val="32"/>
          <w:lang w:eastAsia="zh-CN"/>
        </w:rPr>
        <w:t>。</w:t>
      </w:r>
    </w:p>
    <w:p w14:paraId="3835B9AB">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（1）诊断准确性验证：以穿刺活检或手术病理为金标准，对比三维后处理图像与传统二维切片在显示包膜外侵犯及精囊受累方面的效能差异</w:t>
      </w:r>
      <w:r>
        <w:rPr>
          <w:rFonts w:hint="eastAsia" w:ascii="仿宋_GB2312" w:hAnsi="仿宋_GB2312" w:eastAsia="仿宋_GB2312" w:cs="仿宋_GB2312"/>
          <w:sz w:val="32"/>
          <w:szCs w:val="32"/>
          <w:lang w:eastAsia="zh-CN"/>
        </w:rPr>
        <w:t>；</w:t>
      </w:r>
    </w:p>
    <w:p w14:paraId="0020A17A">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（2）临床应用价值：评估三维立体模型在术前规划、病理对应以及辅助临床医师进行认知融合穿刺中的实际应用价值</w:t>
      </w:r>
      <w:r>
        <w:rPr>
          <w:rFonts w:hint="eastAsia" w:ascii="仿宋_GB2312" w:hAnsi="仿宋_GB2312" w:eastAsia="仿宋_GB2312" w:cs="仿宋_GB2312"/>
          <w:sz w:val="32"/>
          <w:szCs w:val="32"/>
          <w:lang w:eastAsia="zh-CN"/>
        </w:rPr>
        <w:t>；</w:t>
      </w:r>
    </w:p>
    <w:p w14:paraId="7EDF7C50">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三、项目考核指标（项目执行期内） </w:t>
      </w:r>
    </w:p>
    <w:p w14:paraId="5EB115B4">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1.构建标准化临床影像数据库，收集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100例拟行前列腺穿刺的临床病例数据</w:t>
      </w:r>
      <w:r>
        <w:rPr>
          <w:rFonts w:hint="eastAsia" w:ascii="仿宋_GB2312" w:hAnsi="仿宋_GB2312" w:eastAsia="仿宋_GB2312" w:cs="仿宋_GB2312"/>
          <w:sz w:val="32"/>
          <w:szCs w:val="32"/>
          <w:lang w:eastAsia="zh-CN"/>
        </w:rPr>
        <w:t>；</w:t>
      </w:r>
    </w:p>
    <w:p w14:paraId="4A9A805E">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2.完成前列腺病灶的三维图像后处理及空间定位</w:t>
      </w:r>
      <w:r>
        <w:rPr>
          <w:rFonts w:hint="eastAsia" w:ascii="仿宋_GB2312" w:hAnsi="仿宋_GB2312" w:eastAsia="仿宋_GB2312" w:cs="仿宋_GB2312"/>
          <w:sz w:val="32"/>
          <w:szCs w:val="32"/>
          <w:lang w:eastAsia="zh-CN"/>
        </w:rPr>
        <w:t>；</w:t>
      </w:r>
    </w:p>
    <w:p w14:paraId="243B7828">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3.对以上病例进行准确度评估，生成</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评估报告</w:t>
      </w:r>
      <w:r>
        <w:rPr>
          <w:rFonts w:hint="eastAsia" w:ascii="仿宋_GB2312" w:hAnsi="仿宋_GB2312" w:eastAsia="仿宋_GB2312" w:cs="仿宋_GB2312"/>
          <w:sz w:val="32"/>
          <w:szCs w:val="32"/>
          <w:lang w:eastAsia="zh-CN"/>
        </w:rPr>
        <w:t>；</w:t>
      </w:r>
    </w:p>
    <w:p w14:paraId="187D607D">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p>
    <w:p w14:paraId="1CEB599A">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不超过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p>
    <w:p w14:paraId="0BD939A6">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sz w:val="32"/>
          <w:szCs w:val="32"/>
        </w:rPr>
        <w:t>10万元</w:t>
      </w:r>
    </w:p>
    <w:p w14:paraId="27853A79">
      <w:pPr>
        <w:pStyle w:val="11"/>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firstLineChars="0"/>
        <w:textAlignment w:val="auto"/>
        <w:rPr>
          <w:rFonts w:hint="eastAsia" w:ascii="仿宋_GB2312" w:hAnsi="仿宋_GB2312" w:eastAsia="仿宋_GB2312" w:cs="仿宋_GB2312"/>
          <w:sz w:val="32"/>
          <w:szCs w:val="32"/>
        </w:rPr>
      </w:pPr>
    </w:p>
    <w:p w14:paraId="06457329">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AA92764">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bookmarkStart w:id="2" w:name="_Toc20542"/>
      <w:bookmarkStart w:id="3" w:name="_Toc226466347"/>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4002 </w:t>
      </w:r>
      <w:r>
        <w:rPr>
          <w:rFonts w:hint="eastAsia" w:ascii="方正小标宋简体" w:hAnsi="方正小标宋简体" w:eastAsia="方正小标宋简体" w:cs="方正小标宋简体"/>
          <w:bCs/>
          <w:sz w:val="44"/>
          <w:szCs w:val="44"/>
          <w:lang w:eastAsia="zh-CN"/>
        </w:rPr>
        <w:t>多模态磁共振成像在中医药治疗脑卒中后睡眠障碍中的机制研究与模型构建</w:t>
      </w:r>
      <w:bookmarkEnd w:id="2"/>
      <w:bookmarkEnd w:id="3"/>
    </w:p>
    <w:p w14:paraId="52CFF654">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p>
    <w:p w14:paraId="3658DE07">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磁共振成像</w:t>
      </w:r>
    </w:p>
    <w:p w14:paraId="0A4A7CF3">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kern w:val="0"/>
          <w:sz w:val="32"/>
          <w:szCs w:val="32"/>
        </w:rPr>
        <w:t>主要</w:t>
      </w:r>
      <w:r>
        <w:rPr>
          <w:rFonts w:hint="eastAsia" w:ascii="仿宋_GB2312" w:hAnsi="仿宋_GB2312" w:eastAsia="仿宋_GB2312" w:cs="仿宋_GB2312"/>
          <w:b/>
          <w:bCs/>
          <w:kern w:val="0"/>
          <w:sz w:val="32"/>
          <w:szCs w:val="32"/>
          <w:lang w:val="en-US" w:eastAsia="zh-CN"/>
        </w:rPr>
        <w:t>研究</w:t>
      </w:r>
      <w:r>
        <w:rPr>
          <w:rFonts w:hint="eastAsia" w:ascii="仿宋_GB2312" w:hAnsi="仿宋_GB2312" w:eastAsia="仿宋_GB2312" w:cs="仿宋_GB2312"/>
          <w:b/>
          <w:bCs/>
          <w:kern w:val="0"/>
          <w:sz w:val="32"/>
          <w:szCs w:val="32"/>
        </w:rPr>
        <w:t>内容</w:t>
      </w:r>
    </w:p>
    <w:p w14:paraId="66A837EA">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基于高场超导核磁共振成像系统采集图像，并通过多模态成像技术，从脑功能网络、白质完整性、类淋巴系统功能及神经微结构等维度，解析中医药现代化治疗脑卒中后睡眠障碍的神经重构机制。</w:t>
      </w:r>
    </w:p>
    <w:p w14:paraId="5E75EA57">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构建多维度数据库，整合多模态影像数据、临床症状评分、神经心理学评估等信息，运用影像组学技术高通量提取特征，结合机器学习算法筛选中医药现代化疗效相关的神经影像生物标志物。</w:t>
      </w:r>
    </w:p>
    <w:p w14:paraId="6CABFFBE">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rPr>
        <w:t>融合筛选出的影像组学特征、传统影像指标及临床基线数据，采用机器学习算法构建早期预后预测模型并进行内部验证，形成临床辅助决策工具原型。</w:t>
      </w:r>
    </w:p>
    <w:p w14:paraId="1D7F0AB2">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2DCA0D15">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80例病例，其中脑卒中后睡眠障碍</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40例，年龄、性别匹配的健康志愿者</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40例：</w:t>
      </w:r>
    </w:p>
    <w:p w14:paraId="3B649DDE">
      <w:pPr>
        <w:keepNext w:val="0"/>
        <w:keepLines w:val="0"/>
        <w:pageBreakBefore w:val="0"/>
        <w:tabs>
          <w:tab w:val="left" w:pos="312"/>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（1）所有研究对象完成多模态磁共振扫描，涵盖fMRI、DTI、3D-T1及常规序列，同步收集完整的临床评估数据（含 HAMD、NIHSS等量表评分）</w:t>
      </w:r>
      <w:r>
        <w:rPr>
          <w:rFonts w:hint="eastAsia" w:ascii="仿宋_GB2312" w:hAnsi="仿宋_GB2312" w:eastAsia="仿宋_GB2312" w:cs="仿宋_GB2312"/>
          <w:sz w:val="32"/>
          <w:szCs w:val="32"/>
          <w:lang w:eastAsia="zh-CN"/>
        </w:rPr>
        <w:t>；</w:t>
      </w:r>
    </w:p>
    <w:p w14:paraId="1E09332E">
      <w:pPr>
        <w:keepNext w:val="0"/>
        <w:keepLines w:val="0"/>
        <w:pageBreakBefore w:val="0"/>
        <w:tabs>
          <w:tab w:val="left" w:pos="312"/>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（2）数据需包含脱敏后的DICOM格式影像文件、对应的申请单电</w:t>
      </w:r>
      <w:r>
        <w:rPr>
          <w:rFonts w:hint="eastAsia" w:ascii="仿宋_GB2312" w:hAnsi="仿宋_GB2312" w:eastAsia="仿宋_GB2312" w:cs="仿宋_GB2312"/>
          <w:sz w:val="32"/>
          <w:szCs w:val="32"/>
          <w:lang w:eastAsia="zh-CN"/>
        </w:rPr>
        <w:t>子文</w:t>
      </w:r>
      <w:r>
        <w:rPr>
          <w:rFonts w:hint="eastAsia" w:ascii="仿宋_GB2312" w:hAnsi="仿宋_GB2312" w:eastAsia="仿宋_GB2312" w:cs="仿宋_GB2312"/>
          <w:sz w:val="32"/>
          <w:szCs w:val="32"/>
        </w:rPr>
        <w:t>件及诊断结论文本</w:t>
      </w:r>
      <w:r>
        <w:rPr>
          <w:rFonts w:hint="eastAsia" w:ascii="仿宋_GB2312" w:hAnsi="仿宋_GB2312" w:eastAsia="仿宋_GB2312" w:cs="仿宋_GB2312"/>
          <w:sz w:val="32"/>
          <w:szCs w:val="32"/>
          <w:lang w:eastAsia="zh-CN"/>
        </w:rPr>
        <w:t>；</w:t>
      </w:r>
    </w:p>
    <w:p w14:paraId="61FD23E8">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解析中医药现代化治疗脑卒中后睡眠障碍的神经重构机制，评估早期预后预测模型，生成相关临床应用价值评估报告</w:t>
      </w:r>
      <w:r>
        <w:rPr>
          <w:rFonts w:hint="eastAsia" w:ascii="仿宋_GB2312" w:hAnsi="仿宋_GB2312" w:eastAsia="仿宋_GB2312" w:cs="仿宋_GB2312"/>
          <w:sz w:val="32"/>
          <w:szCs w:val="32"/>
          <w:lang w:eastAsia="zh-CN"/>
        </w:rPr>
        <w:t>；</w:t>
      </w:r>
    </w:p>
    <w:p w14:paraId="47575DF6">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rPr>
        <w:t>发表论文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1篇，申请计算机软件著作权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1项，开发多模态融合系统原型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1套</w:t>
      </w:r>
      <w:r>
        <w:rPr>
          <w:rFonts w:hint="eastAsia" w:ascii="仿宋_GB2312" w:hAnsi="仿宋_GB2312" w:eastAsia="仿宋_GB2312" w:cs="仿宋_GB2312"/>
          <w:sz w:val="32"/>
          <w:szCs w:val="32"/>
          <w:lang w:eastAsia="zh-CN"/>
        </w:rPr>
        <w:t>；</w:t>
      </w:r>
    </w:p>
    <w:p w14:paraId="7DBC88AB">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rPr>
        <w:t>项目执行期间参加年度成果交流会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p>
    <w:p w14:paraId="44D4145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sz w:val="32"/>
          <w:szCs w:val="32"/>
        </w:rPr>
        <w:t>2年</w:t>
      </w:r>
    </w:p>
    <w:p w14:paraId="171C1536">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不超过20万元</w:t>
      </w:r>
    </w:p>
    <w:p w14:paraId="70D26A3B">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11BF7F5">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bookmarkStart w:id="4" w:name="_Toc226466348"/>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4003 </w:t>
      </w:r>
      <w:r>
        <w:rPr>
          <w:rFonts w:hint="eastAsia" w:ascii="方正小标宋简体" w:hAnsi="方正小标宋简体" w:eastAsia="方正小标宋简体" w:cs="方正小标宋简体"/>
          <w:bCs/>
          <w:sz w:val="44"/>
          <w:szCs w:val="44"/>
          <w:lang w:eastAsia="zh-CN"/>
        </w:rPr>
        <w:t>基于多模态磁共振成像与人工智能对糖尿病脑病早期风险预测及智能评估研究</w:t>
      </w:r>
      <w:bookmarkEnd w:id="4"/>
    </w:p>
    <w:p w14:paraId="19BC7F1A">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p>
    <w:p w14:paraId="6904410D">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磁共振成像</w:t>
      </w:r>
    </w:p>
    <w:p w14:paraId="7D67FEA4">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kern w:val="0"/>
          <w:sz w:val="32"/>
          <w:szCs w:val="32"/>
        </w:rPr>
        <w:t>主要</w:t>
      </w:r>
      <w:r>
        <w:rPr>
          <w:rFonts w:hint="eastAsia" w:ascii="仿宋_GB2312" w:hAnsi="仿宋_GB2312" w:eastAsia="仿宋_GB2312" w:cs="仿宋_GB2312"/>
          <w:b/>
          <w:bCs/>
          <w:kern w:val="0"/>
          <w:sz w:val="32"/>
          <w:szCs w:val="32"/>
          <w:lang w:val="en-US" w:eastAsia="zh-CN"/>
        </w:rPr>
        <w:t>研究</w:t>
      </w:r>
      <w:r>
        <w:rPr>
          <w:rFonts w:hint="eastAsia" w:ascii="仿宋_GB2312" w:hAnsi="仿宋_GB2312" w:eastAsia="仿宋_GB2312" w:cs="仿宋_GB2312"/>
          <w:b/>
          <w:bCs/>
          <w:kern w:val="0"/>
          <w:sz w:val="32"/>
          <w:szCs w:val="32"/>
        </w:rPr>
        <w:t>内容</w:t>
      </w:r>
    </w:p>
    <w:p w14:paraId="3CBF0136">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1.基于高场超导核磁共振成像系统采集图像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研究磁共振多模态成像（包括3D-T1、ASL、DTI、SWI/QSM等），从脑结构、脑灌注、白质完整性、铁沉积</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角度提供客观的神经影像学数据，为T2DM伴认知障碍患者的早期诊断及机制研究提供新思路</w:t>
      </w:r>
      <w:r>
        <w:rPr>
          <w:rFonts w:hint="eastAsia" w:ascii="仿宋_GB2312" w:hAnsi="仿宋_GB2312" w:eastAsia="仿宋_GB2312" w:cs="仿宋_GB2312"/>
          <w:sz w:val="32"/>
          <w:szCs w:val="32"/>
          <w:lang w:eastAsia="zh-CN"/>
        </w:rPr>
        <w:t>；</w:t>
      </w:r>
    </w:p>
    <w:p w14:paraId="069E59A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2.建立多模态标准化临床数据库，收集大量2型糖尿病（T2DM）患者及伴认知障碍患者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采集多模态MRI数据、临床资料（病程、HbA1c、胰岛素抵抗指数等）以及采集神经心理量表评估（MoCA、MMSE等）</w:t>
      </w:r>
      <w:r>
        <w:rPr>
          <w:rFonts w:hint="eastAsia" w:ascii="仿宋_GB2312" w:hAnsi="仿宋_GB2312" w:eastAsia="仿宋_GB2312" w:cs="仿宋_GB2312"/>
          <w:sz w:val="32"/>
          <w:szCs w:val="32"/>
          <w:lang w:eastAsia="zh-CN"/>
        </w:rPr>
        <w:t>；</w:t>
      </w:r>
    </w:p>
    <w:p w14:paraId="03E0FCE9">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应用机器学习、影像组学等关键技术，结合中枢神经系统疾病的多参数影像特征，深入研究T2DM伴认知障碍患者的组学特点，通过特征融合提取与认知功能最相关的综合性影像标志物，构建并验证融合多模态影像数据与临床资料的早期认知障碍识别模型。</w:t>
      </w:r>
    </w:p>
    <w:p w14:paraId="69532972">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3669DA19">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150例病例，招募2型糖尿病（T2DM）患者及伴认知障碍</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75例及年龄、性别匹配的健康对照</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75例：</w:t>
      </w:r>
    </w:p>
    <w:p w14:paraId="15E0C933">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（1）采集的数据需包含3D-T1、DTI、ASL、SWI/QSM及头部常规序列图像。</w:t>
      </w:r>
    </w:p>
    <w:p w14:paraId="6B937461">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（2）所需数据需有DICOM数据对应的申请单电子件及诊断结论（脱敏后的截图或文本信息）；</w:t>
      </w:r>
    </w:p>
    <w:p w14:paraId="12E498B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2.系统评估早期预测模型的预测效能，并生成临床应用评估报告</w:t>
      </w:r>
      <w:r>
        <w:rPr>
          <w:rFonts w:hint="eastAsia" w:ascii="仿宋_GB2312" w:hAnsi="仿宋_GB2312" w:eastAsia="仿宋_GB2312" w:cs="仿宋_GB2312"/>
          <w:sz w:val="32"/>
          <w:szCs w:val="32"/>
          <w:lang w:eastAsia="zh-CN"/>
        </w:rPr>
        <w:t>；</w:t>
      </w:r>
    </w:p>
    <w:p w14:paraId="66C25DB2">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p>
    <w:p w14:paraId="499153A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2年</w:t>
      </w:r>
    </w:p>
    <w:p w14:paraId="6741F26C">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不超过10</w:t>
      </w:r>
      <w:r>
        <w:rPr>
          <w:rFonts w:hint="eastAsia" w:ascii="仿宋_GB2312" w:hAnsi="仿宋_GB2312" w:eastAsia="仿宋_GB2312" w:cs="仿宋_GB2312"/>
          <w:sz w:val="32"/>
          <w:szCs w:val="32"/>
          <w:lang w:eastAsia="zh-CN"/>
        </w:rPr>
        <w:t>万元</w:t>
      </w:r>
    </w:p>
    <w:p w14:paraId="67FDF625">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p>
    <w:p w14:paraId="0E799287">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0A45C4C">
      <w:pPr>
        <w:keepNext w:val="0"/>
        <w:keepLines w:val="0"/>
        <w:pageBreakBefore w:val="0"/>
        <w:kinsoku/>
        <w:wordWrap/>
        <w:overflowPunct/>
        <w:topLinePunct w:val="0"/>
        <w:autoSpaceDE/>
        <w:autoSpaceDN/>
        <w:bidi w:val="0"/>
        <w:adjustRightInd w:val="0"/>
        <w:snapToGrid w:val="0"/>
        <w:spacing w:line="560" w:lineRule="exact"/>
        <w:jc w:val="left"/>
        <w:textAlignment w:val="auto"/>
        <w:outlineLvl w:val="0"/>
        <w:rPr>
          <w:rFonts w:hint="eastAsia" w:ascii="仿宋_GB2312" w:hAnsi="仿宋_GB2312" w:eastAsia="仿宋_GB2312" w:cs="仿宋_GB2312"/>
          <w:b/>
          <w:bCs w:val="0"/>
          <w:sz w:val="32"/>
          <w:szCs w:val="32"/>
        </w:rPr>
      </w:pPr>
      <w:bookmarkStart w:id="5" w:name="_Toc226466349"/>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MI部分</w:t>
      </w:r>
      <w:bookmarkEnd w:id="5"/>
      <w:r>
        <w:rPr>
          <w:rFonts w:hint="eastAsia" w:ascii="仿宋_GB2312" w:hAnsi="仿宋_GB2312" w:eastAsia="仿宋_GB2312" w:cs="仿宋_GB2312"/>
          <w:bCs/>
          <w:sz w:val="32"/>
          <w:szCs w:val="32"/>
        </w:rPr>
        <w:t>】</w:t>
      </w:r>
    </w:p>
    <w:p w14:paraId="2C6EDDA8">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bookmarkStart w:id="6" w:name="_Toc226466350"/>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4004 </w:t>
      </w:r>
      <w:r>
        <w:rPr>
          <w:rFonts w:hint="eastAsia" w:ascii="方正小标宋简体" w:hAnsi="方正小标宋简体" w:eastAsia="方正小标宋简体" w:cs="方正小标宋简体"/>
          <w:bCs/>
          <w:sz w:val="44"/>
          <w:szCs w:val="44"/>
          <w:lang w:eastAsia="zh-CN"/>
        </w:rPr>
        <w:t>AI迭代重建技术优化68Ga-FAPI-46 PET-CT腹部肿瘤腹膜转移诊断研究</w:t>
      </w:r>
      <w:bookmarkEnd w:id="6"/>
    </w:p>
    <w:p w14:paraId="04790878">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p>
    <w:p w14:paraId="343A478E">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 xml:space="preserve">：PET-CT </w:t>
      </w:r>
    </w:p>
    <w:p w14:paraId="3AD7DE0A">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kern w:val="0"/>
          <w:sz w:val="32"/>
          <w:szCs w:val="32"/>
        </w:rPr>
        <w:t>主要</w:t>
      </w:r>
      <w:r>
        <w:rPr>
          <w:rFonts w:hint="eastAsia" w:ascii="仿宋_GB2312" w:hAnsi="仿宋_GB2312" w:eastAsia="仿宋_GB2312" w:cs="仿宋_GB2312"/>
          <w:b/>
          <w:bCs/>
          <w:kern w:val="0"/>
          <w:sz w:val="32"/>
          <w:szCs w:val="32"/>
          <w:lang w:val="en-US" w:eastAsia="zh-CN"/>
        </w:rPr>
        <w:t>研究</w:t>
      </w:r>
      <w:r>
        <w:rPr>
          <w:rFonts w:hint="eastAsia" w:ascii="仿宋_GB2312" w:hAnsi="仿宋_GB2312" w:eastAsia="仿宋_GB2312" w:cs="仿宋_GB2312"/>
          <w:b/>
          <w:bCs/>
          <w:kern w:val="0"/>
          <w:sz w:val="32"/>
          <w:szCs w:val="32"/>
        </w:rPr>
        <w:t>内容</w:t>
      </w:r>
    </w:p>
    <w:p w14:paraId="066DFC1B">
      <w:pPr>
        <w:keepNext w:val="0"/>
        <w:keepLines w:val="0"/>
        <w:pageBreakBefore w:val="0"/>
        <w:numPr>
          <w:ilvl w:val="0"/>
          <w:numId w:val="0"/>
        </w:numPr>
        <w:tabs>
          <w:tab w:val="left" w:pos="709"/>
          <w:tab w:val="left" w:pos="1134"/>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基于迁移学习策略，利用</w:t>
      </w:r>
      <w:r>
        <w:rPr>
          <w:rFonts w:hint="eastAsia" w:ascii="仿宋_GB2312" w:hAnsi="仿宋_GB2312" w:eastAsia="仿宋_GB2312" w:cs="仿宋_GB2312"/>
          <w:sz w:val="32"/>
          <w:szCs w:val="32"/>
          <w:vertAlign w:val="superscript"/>
        </w:rPr>
        <w:t>18</w:t>
      </w:r>
      <w:r>
        <w:rPr>
          <w:rFonts w:hint="eastAsia" w:ascii="仿宋_GB2312" w:hAnsi="仿宋_GB2312" w:eastAsia="仿宋_GB2312" w:cs="仿宋_GB2312"/>
          <w:sz w:val="32"/>
          <w:szCs w:val="32"/>
        </w:rPr>
        <w:t>F-FDG PET大规模腹部肿瘤数据库训练通用图像重建模型，结合</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Ga-FAPI-46 PET/CT 腹部肿瘤病例数据进行模型微调，建立适配该示踪剂的腹部肿瘤AI迭代重建模型</w:t>
      </w:r>
      <w:r>
        <w:rPr>
          <w:rFonts w:hint="eastAsia" w:ascii="仿宋_GB2312" w:hAnsi="仿宋_GB2312" w:eastAsia="仿宋_GB2312" w:cs="仿宋_GB2312"/>
          <w:sz w:val="32"/>
          <w:szCs w:val="32"/>
          <w:lang w:eastAsia="zh-CN"/>
        </w:rPr>
        <w:t>；</w:t>
      </w:r>
    </w:p>
    <w:p w14:paraId="446D3C73">
      <w:pPr>
        <w:keepNext w:val="0"/>
        <w:keepLines w:val="0"/>
        <w:pageBreakBefore w:val="0"/>
        <w:numPr>
          <w:ilvl w:val="0"/>
          <w:numId w:val="0"/>
        </w:numPr>
        <w:tabs>
          <w:tab w:val="left" w:pos="709"/>
          <w:tab w:val="left" w:pos="1134"/>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从信号噪声比（SNR）、对比度噪声比（CNR）、肝脏变异系数（CV）等定量指标，对比评估AI重建与常规 OSEM 重建的</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Ga-FAPI-46 PET-CT图像质量改善效果</w:t>
      </w:r>
      <w:r>
        <w:rPr>
          <w:rFonts w:hint="eastAsia" w:ascii="仿宋_GB2312" w:hAnsi="仿宋_GB2312" w:eastAsia="仿宋_GB2312" w:cs="仿宋_GB2312"/>
          <w:sz w:val="32"/>
          <w:szCs w:val="32"/>
          <w:lang w:eastAsia="zh-CN"/>
        </w:rPr>
        <w:t>；</w:t>
      </w:r>
    </w:p>
    <w:p w14:paraId="2DB4DACD">
      <w:pPr>
        <w:keepNext w:val="0"/>
        <w:keepLines w:val="0"/>
        <w:pageBreakBefore w:val="0"/>
        <w:numPr>
          <w:ilvl w:val="0"/>
          <w:numId w:val="0"/>
        </w:numPr>
        <w:tabs>
          <w:tab w:val="left" w:pos="709"/>
          <w:tab w:val="left" w:pos="1134"/>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通过多医师标准化单盲阅片试验，系统分析AI优化重建技术对腹部肿瘤腹膜转移灶检出率、最小可检出病灶大小、阅片者诊断置信度的提升作用，形成轻量化、易推广的 </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Ga-FAPI-46 PET-CT AI重建技术临床应用方案与操作规范。</w:t>
      </w:r>
    </w:p>
    <w:p w14:paraId="0E3AA7D8">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三、</w:t>
      </w:r>
      <w:r>
        <w:rPr>
          <w:rFonts w:hint="eastAsia" w:ascii="仿宋_GB2312" w:hAnsi="仿宋_GB2312" w:eastAsia="仿宋_GB2312" w:cs="仿宋_GB2312"/>
          <w:b/>
          <w:bCs/>
          <w:sz w:val="32"/>
          <w:szCs w:val="32"/>
        </w:rPr>
        <w:t>项目考核指标（项目执行期内）</w:t>
      </w:r>
    </w:p>
    <w:p w14:paraId="7B45B3E0">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建立临床—影像数据库，收集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30例腹部肿瘤相关 </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Ga-FAPI-46 PET-CT 病例图像，所需数据有阳性病变，需有DICOM数据对应的申请单电子件及诊断结论（脱敏后的照片或截图或文本信息均可）</w:t>
      </w:r>
      <w:r>
        <w:rPr>
          <w:rFonts w:hint="eastAsia" w:ascii="仿宋_GB2312" w:hAnsi="仿宋_GB2312" w:eastAsia="仿宋_GB2312" w:cs="仿宋_GB2312"/>
          <w:sz w:val="32"/>
          <w:szCs w:val="32"/>
          <w:lang w:eastAsia="zh-CN"/>
        </w:rPr>
        <w:t>；</w:t>
      </w:r>
    </w:p>
    <w:p w14:paraId="3C12913C">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 xml:space="preserve">构建适配 </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Ga-FAPI-46示踪剂的腹部肿瘤AI迭代重建模型，对比评估与常规PET-CT图像的质量改善效果并形成评估报告</w:t>
      </w:r>
      <w:r>
        <w:rPr>
          <w:rFonts w:hint="eastAsia" w:ascii="仿宋_GB2312" w:hAnsi="仿宋_GB2312" w:eastAsia="仿宋_GB2312" w:cs="仿宋_GB2312"/>
          <w:sz w:val="32"/>
          <w:szCs w:val="32"/>
          <w:lang w:eastAsia="zh-CN"/>
        </w:rPr>
        <w:t>；</w:t>
      </w:r>
    </w:p>
    <w:p w14:paraId="2F5A8430">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rPr>
        <w:t>明确AI重建技术下腹膜微小转移灶的最小可检出大小，形成可在基层医院推广的</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Ga-FAPI-46 PET-CT AI迭代重建技术临床应用规范</w:t>
      </w:r>
      <w:r>
        <w:rPr>
          <w:rFonts w:hint="eastAsia" w:ascii="仿宋_GB2312" w:hAnsi="仿宋_GB2312" w:eastAsia="仿宋_GB2312" w:cs="仿宋_GB2312"/>
          <w:sz w:val="32"/>
          <w:szCs w:val="32"/>
          <w:lang w:eastAsia="zh-CN"/>
        </w:rPr>
        <w:t>；</w:t>
      </w:r>
    </w:p>
    <w:p w14:paraId="3E8DF3AA">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rPr>
        <w:t>项目周期内参加年度成果交流会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1次</w:t>
      </w:r>
      <w:r>
        <w:rPr>
          <w:rFonts w:hint="eastAsia" w:ascii="仿宋_GB2312" w:hAnsi="仿宋_GB2312" w:eastAsia="仿宋_GB2312" w:cs="仿宋_GB2312"/>
          <w:sz w:val="32"/>
          <w:szCs w:val="32"/>
          <w:lang w:eastAsia="zh-CN"/>
        </w:rPr>
        <w:t>；</w:t>
      </w:r>
    </w:p>
    <w:p w14:paraId="66C98C82">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rPr>
        <w:t>发表</w:t>
      </w:r>
      <w:r>
        <w:rPr>
          <w:rFonts w:hint="eastAsia" w:ascii="仿宋_GB2312" w:hAnsi="仿宋_GB2312" w:eastAsia="仿宋_GB2312" w:cs="仿宋_GB2312"/>
          <w:sz w:val="32"/>
          <w:szCs w:val="32"/>
          <w:lang w:val="en-US" w:eastAsia="zh-CN"/>
        </w:rPr>
        <w:t>论文≥</w:t>
      </w:r>
      <w:r>
        <w:rPr>
          <w:rFonts w:hint="eastAsia" w:ascii="仿宋_GB2312" w:hAnsi="仿宋_GB2312" w:eastAsia="仿宋_GB2312" w:cs="仿宋_GB2312"/>
          <w:sz w:val="32"/>
          <w:szCs w:val="32"/>
        </w:rPr>
        <w:t>1篇或专利成果产出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项。</w:t>
      </w:r>
    </w:p>
    <w:p w14:paraId="5D204991">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四、</w:t>
      </w:r>
      <w:r>
        <w:rPr>
          <w:rFonts w:hint="eastAsia" w:ascii="仿宋_GB2312" w:hAnsi="仿宋_GB2312" w:eastAsia="仿宋_GB2312" w:cs="仿宋_GB2312"/>
          <w:b/>
          <w:bCs/>
          <w:sz w:val="32"/>
          <w:szCs w:val="32"/>
        </w:rPr>
        <w:t>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3AB3208F">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五、</w:t>
      </w:r>
      <w:r>
        <w:rPr>
          <w:rFonts w:hint="eastAsia" w:ascii="仿宋_GB2312" w:hAnsi="仿宋_GB2312" w:eastAsia="仿宋_GB2312" w:cs="仿宋_GB2312"/>
          <w:b/>
          <w:bCs/>
          <w:sz w:val="32"/>
          <w:szCs w:val="32"/>
        </w:rPr>
        <w:t>资助金额：</w:t>
      </w:r>
      <w:r>
        <w:rPr>
          <w:rFonts w:hint="eastAsia" w:ascii="仿宋_GB2312" w:hAnsi="仿宋_GB2312" w:eastAsia="仿宋_GB2312" w:cs="仿宋_GB2312"/>
          <w:sz w:val="32"/>
          <w:szCs w:val="32"/>
        </w:rPr>
        <w:t>不超过20万元</w:t>
      </w:r>
    </w:p>
    <w:p w14:paraId="04F4E279">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1A0EB3D">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56D4E3D">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D5F5426">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D2C156A">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F3E54A9">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5428001">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3359170">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9193ED0">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88BBC8E">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3CD6B55">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A9B43E3">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1885B85">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72BC120">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27F2631">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bookmarkStart w:id="7" w:name="_Toc226466351"/>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4005 </w:t>
      </w:r>
      <w:r>
        <w:rPr>
          <w:rFonts w:hint="eastAsia" w:ascii="方正小标宋简体" w:hAnsi="方正小标宋简体" w:eastAsia="方正小标宋简体" w:cs="方正小标宋简体"/>
          <w:bCs/>
          <w:sz w:val="44"/>
          <w:szCs w:val="44"/>
          <w:lang w:eastAsia="zh-CN"/>
        </w:rPr>
        <w:t>PET/MR多模态影像参数联合病理分子标志物在前列腺癌诊断及复发风险分层预测中的研究</w:t>
      </w:r>
      <w:bookmarkEnd w:id="7"/>
    </w:p>
    <w:p w14:paraId="75D19057">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bCs/>
          <w:sz w:val="44"/>
          <w:szCs w:val="44"/>
          <w:lang w:eastAsia="zh-CN"/>
        </w:rPr>
      </w:pPr>
    </w:p>
    <w:p w14:paraId="42E9204F">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val="0"/>
          <w:sz w:val="32"/>
          <w:szCs w:val="32"/>
        </w:rPr>
        <w:t>一、领域：</w:t>
      </w:r>
      <w:r>
        <w:rPr>
          <w:rFonts w:hint="eastAsia" w:ascii="仿宋_GB2312" w:hAnsi="仿宋_GB2312" w:eastAsia="仿宋_GB2312" w:cs="仿宋_GB2312"/>
          <w:sz w:val="32"/>
          <w:szCs w:val="32"/>
        </w:rPr>
        <w:t>PET/MR成像</w:t>
      </w:r>
    </w:p>
    <w:p w14:paraId="04894FDE">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二、主要研究内容</w:t>
      </w:r>
    </w:p>
    <w:p w14:paraId="22C9B0F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Cs/>
          <w:sz w:val="32"/>
          <w:szCs w:val="32"/>
        </w:rPr>
        <w:t>基于高端PET/MR系统采集前列腺及盆腔区域多模态影像，获取肿瘤代谢、解剖结构、微环境及功能等多维信息，开展前列腺癌诊断及复发风险分层预测研究</w:t>
      </w:r>
      <w:r>
        <w:rPr>
          <w:rFonts w:hint="eastAsia" w:ascii="仿宋_GB2312" w:hAnsi="仿宋_GB2312" w:eastAsia="仿宋_GB2312" w:cs="仿宋_GB2312"/>
          <w:bCs/>
          <w:sz w:val="32"/>
          <w:szCs w:val="32"/>
          <w:lang w:eastAsia="zh-CN"/>
        </w:rPr>
        <w:t>；</w:t>
      </w:r>
    </w:p>
    <w:p w14:paraId="2E96F23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PET：构建采用双示踪剂显像方案（</w:t>
      </w:r>
      <w:r>
        <w:rPr>
          <w:rFonts w:hint="eastAsia" w:ascii="仿宋_GB2312" w:hAnsi="仿宋_GB2312" w:eastAsia="仿宋_GB2312" w:cs="仿宋_GB2312"/>
          <w:sz w:val="32"/>
          <w:szCs w:val="32"/>
          <w:vertAlign w:val="superscript"/>
        </w:rPr>
        <w:t>18</w:t>
      </w:r>
      <w:r>
        <w:rPr>
          <w:rFonts w:hint="eastAsia" w:ascii="仿宋_GB2312" w:hAnsi="仿宋_GB2312" w:eastAsia="仿宋_GB2312" w:cs="仿宋_GB2312"/>
          <w:sz w:val="32"/>
          <w:szCs w:val="32"/>
        </w:rPr>
        <w:t xml:space="preserve">F-PSMA / </w:t>
      </w:r>
      <w:r>
        <w:rPr>
          <w:rFonts w:hint="eastAsia" w:ascii="仿宋_GB2312" w:hAnsi="仿宋_GB2312" w:eastAsia="仿宋_GB2312" w:cs="仿宋_GB2312"/>
          <w:sz w:val="32"/>
          <w:szCs w:val="32"/>
          <w:vertAlign w:val="superscript"/>
        </w:rPr>
        <w:t>68</w:t>
      </w:r>
      <w:r>
        <w:rPr>
          <w:rFonts w:hint="eastAsia" w:ascii="仿宋_GB2312" w:hAnsi="仿宋_GB2312" w:eastAsia="仿宋_GB2312" w:cs="仿宋_GB2312"/>
          <w:sz w:val="32"/>
          <w:szCs w:val="32"/>
        </w:rPr>
        <w:t>Ga-PSMA联合</w:t>
      </w:r>
      <w:r>
        <w:rPr>
          <w:rFonts w:hint="eastAsia" w:ascii="仿宋_GB2312" w:hAnsi="仿宋_GB2312" w:eastAsia="仿宋_GB2312" w:cs="仿宋_GB2312"/>
          <w:sz w:val="32"/>
          <w:szCs w:val="32"/>
          <w:vertAlign w:val="superscript"/>
        </w:rPr>
        <w:t>18</w:t>
      </w:r>
      <w:r>
        <w:rPr>
          <w:rFonts w:hint="eastAsia" w:ascii="仿宋_GB2312" w:hAnsi="仿宋_GB2312" w:eastAsia="仿宋_GB2312" w:cs="仿宋_GB2312"/>
          <w:sz w:val="32"/>
          <w:szCs w:val="32"/>
        </w:rPr>
        <w:t>F-FDG）</w:t>
      </w:r>
      <w:r>
        <w:rPr>
          <w:rFonts w:hint="eastAsia" w:ascii="仿宋_GB2312" w:hAnsi="仿宋_GB2312" w:eastAsia="仿宋_GB2312" w:cs="仿宋_GB2312"/>
          <w:bCs/>
          <w:sz w:val="32"/>
          <w:szCs w:val="32"/>
        </w:rPr>
        <w:t>的前列腺癌诊断及复发风险分层预测流程，重点解决局部复发识别、淋巴结转移、骨转移风险评估、生化复发定位等临床需求</w:t>
      </w:r>
      <w:r>
        <w:rPr>
          <w:rFonts w:hint="eastAsia" w:ascii="仿宋_GB2312" w:hAnsi="仿宋_GB2312" w:eastAsia="仿宋_GB2312" w:cs="仿宋_GB2312"/>
          <w:bCs/>
          <w:sz w:val="32"/>
          <w:szCs w:val="32"/>
          <w:lang w:eastAsia="zh-CN"/>
        </w:rPr>
        <w:t>；</w:t>
      </w:r>
    </w:p>
    <w:p w14:paraId="6FD6CC7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MR：基于多序列及多参数成像评估前列腺相关结构和功能改变，包括T1WI、T2WI、DWI、ADC定量图等，实现对前列腺癌病灶形态学及功能学特征的综合分析</w:t>
      </w:r>
      <w:r>
        <w:rPr>
          <w:rFonts w:hint="eastAsia" w:ascii="仿宋_GB2312" w:hAnsi="仿宋_GB2312" w:eastAsia="仿宋_GB2312" w:cs="仿宋_GB2312"/>
          <w:sz w:val="32"/>
          <w:szCs w:val="32"/>
          <w:lang w:eastAsia="zh-CN"/>
        </w:rPr>
        <w:t>；</w:t>
      </w:r>
    </w:p>
    <w:p w14:paraId="1E6F030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将PET/MR影像特征与前列腺癌相关分子指标进行关联分析，包括：Ki-67增殖指数、PSMA表达水平、p53、PTEN、AR信号通路相关蛋白表达等。分析不同影像表型与病理分子标志物水平、分子分型、侵袭性及复发风险之间的关系</w:t>
      </w:r>
      <w:r>
        <w:rPr>
          <w:rFonts w:hint="eastAsia" w:ascii="仿宋_GB2312" w:hAnsi="仿宋_GB2312" w:eastAsia="仿宋_GB2312" w:cs="仿宋_GB2312"/>
          <w:sz w:val="32"/>
          <w:szCs w:val="32"/>
          <w:lang w:eastAsia="zh-CN"/>
        </w:rPr>
        <w:t>；</w:t>
      </w:r>
    </w:p>
    <w:p w14:paraId="03AECE57">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融合PET代谢特征、MR结构及功能特征、病理分子标志物、常规病理结果等，构建多模态联合预测模型，并评估联合模型的诊断及预测效能</w:t>
      </w:r>
      <w:r>
        <w:rPr>
          <w:rFonts w:hint="eastAsia" w:ascii="仿宋_GB2312" w:hAnsi="仿宋_GB2312" w:eastAsia="仿宋_GB2312" w:cs="仿宋_GB2312"/>
          <w:sz w:val="32"/>
          <w:szCs w:val="32"/>
          <w:lang w:eastAsia="zh-CN"/>
        </w:rPr>
        <w:t>；</w:t>
      </w:r>
    </w:p>
    <w:p w14:paraId="2AA90413">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探索高代谢病灶与高危蛋白表达、影像异质性与肿瘤生物学侵袭性、复发风险与病理分子标志物表达之间的内在联系，并开展病理分子标志物与分析前列腺癌复发相关机制研究</w:t>
      </w:r>
      <w:r>
        <w:rPr>
          <w:rFonts w:hint="eastAsia" w:ascii="仿宋_GB2312" w:hAnsi="仿宋_GB2312" w:eastAsia="仿宋_GB2312" w:cs="仿宋_GB2312"/>
          <w:sz w:val="32"/>
          <w:szCs w:val="32"/>
          <w:lang w:eastAsia="zh-CN"/>
        </w:rPr>
        <w:t>；</w:t>
      </w:r>
    </w:p>
    <w:p w14:paraId="310E1E3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由高年资主治医师及以上医师对多示踪剂PET/MR图像进行单盲评估，重点评价病灶检出率、复发风险预测准确率、高危患者识别能力等，比较分析PET/MR多模态影像参数联合病理分子标志物对前列腺癌诊断及复发风险预测的提升效果。</w:t>
      </w:r>
    </w:p>
    <w:p w14:paraId="05A96771">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三、项目考核指标（项目执行期内）</w:t>
      </w:r>
    </w:p>
    <w:p w14:paraId="4EF21684">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100例病例：</w:t>
      </w:r>
    </w:p>
    <w:p w14:paraId="3856B63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（1）扫描范围需包含完整前列腺及盆腔区域，必要时包含腹部及全身转移评估范围；</w:t>
      </w:r>
    </w:p>
    <w:p w14:paraId="719879B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（2）PET/MR需包含完整原始DICOM数据；MR序列至少包括：T1WI、T2WI、DWI、ADC；PET数据需包含阳性病灶；</w:t>
      </w:r>
    </w:p>
    <w:p w14:paraId="01838F9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（3）病例</w:t>
      </w:r>
      <w:r>
        <w:rPr>
          <w:rFonts w:hint="eastAsia" w:ascii="仿宋_GB2312" w:hAnsi="仿宋_GB2312" w:eastAsia="仿宋_GB2312" w:cs="仿宋_GB2312"/>
          <w:sz w:val="32"/>
          <w:szCs w:val="32"/>
          <w:lang w:eastAsia="zh-CN"/>
        </w:rPr>
        <w:t>须具备</w:t>
      </w:r>
      <w:r>
        <w:rPr>
          <w:rFonts w:hint="eastAsia" w:ascii="仿宋_GB2312" w:hAnsi="仿宋_GB2312" w:eastAsia="仿宋_GB2312" w:cs="仿宋_GB2312"/>
          <w:sz w:val="32"/>
          <w:szCs w:val="32"/>
        </w:rPr>
        <w:t>以下条件之一：经病理证实的前列腺癌病例、治疗前后随访病例、生化复发病例。并具备完整电子申请单、临床信息、病理结果及诊断结论。</w:t>
      </w:r>
    </w:p>
    <w:p w14:paraId="2F279F3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2.评估多模态联合模型的诊断及预测效能并形成</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临床应用评估报告</w:t>
      </w:r>
      <w:r>
        <w:rPr>
          <w:rFonts w:hint="eastAsia" w:ascii="仿宋_GB2312" w:hAnsi="仿宋_GB2312" w:eastAsia="仿宋_GB2312" w:cs="仿宋_GB2312"/>
          <w:sz w:val="32"/>
          <w:szCs w:val="32"/>
          <w:lang w:eastAsia="zh-CN"/>
        </w:rPr>
        <w:t>；</w:t>
      </w:r>
    </w:p>
    <w:p w14:paraId="1E12FBC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3.项目周期内参加年度成果交流会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p>
    <w:p w14:paraId="5951287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w:t>
      </w:r>
    </w:p>
    <w:p w14:paraId="198A3D6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四、项目实施年限：</w:t>
      </w:r>
      <w:r>
        <w:rPr>
          <w:rFonts w:hint="eastAsia" w:ascii="仿宋_GB2312" w:hAnsi="仿宋_GB2312" w:eastAsia="仿宋_GB2312" w:cs="仿宋_GB2312"/>
          <w:b w:val="0"/>
          <w:bCs/>
          <w:sz w:val="32"/>
          <w:szCs w:val="32"/>
          <w:lang w:val="en-US" w:eastAsia="zh-CN"/>
        </w:rPr>
        <w:t>不超过</w:t>
      </w:r>
      <w:r>
        <w:rPr>
          <w:rFonts w:hint="eastAsia" w:ascii="仿宋_GB2312" w:hAnsi="仿宋_GB2312" w:eastAsia="仿宋_GB2312" w:cs="仿宋_GB2312"/>
          <w:b w:val="0"/>
          <w:bCs/>
          <w:sz w:val="32"/>
          <w:szCs w:val="32"/>
        </w:rPr>
        <w:t>2年</w:t>
      </w:r>
    </w:p>
    <w:p w14:paraId="759EEA42">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五、资助金额：</w:t>
      </w:r>
      <w:r>
        <w:rPr>
          <w:rFonts w:hint="eastAsia" w:ascii="仿宋_GB2312" w:hAnsi="仿宋_GB2312" w:eastAsia="仿宋_GB2312" w:cs="仿宋_GB2312"/>
          <w:bCs/>
          <w:sz w:val="32"/>
          <w:szCs w:val="32"/>
        </w:rPr>
        <w:t>不超过30万元</w:t>
      </w:r>
      <w:bookmarkStart w:id="8" w:name="_Toc226466352"/>
    </w:p>
    <w:p w14:paraId="56F6F70C">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4006 </w:t>
      </w:r>
      <w:r>
        <w:rPr>
          <w:rFonts w:hint="eastAsia" w:ascii="方正小标宋简体" w:hAnsi="方正小标宋简体" w:eastAsia="方正小标宋简体" w:cs="方正小标宋简体"/>
          <w:bCs/>
          <w:sz w:val="44"/>
          <w:szCs w:val="44"/>
          <w:lang w:eastAsia="zh-CN"/>
        </w:rPr>
        <w:t>呼吸运动校正在上腹部 18F-FDG PET/CT中的临床应用价值研究</w:t>
      </w:r>
      <w:bookmarkEnd w:id="8"/>
    </w:p>
    <w:p w14:paraId="5B7060F9">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kern w:val="0"/>
          <w:sz w:val="32"/>
          <w:szCs w:val="32"/>
        </w:rPr>
      </w:pPr>
    </w:p>
    <w:p w14:paraId="01451397">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一、领域：</w:t>
      </w:r>
      <w:r>
        <w:rPr>
          <w:rFonts w:hint="eastAsia" w:ascii="仿宋_GB2312" w:hAnsi="仿宋_GB2312" w:eastAsia="仿宋_GB2312" w:cs="仿宋_GB2312"/>
          <w:kern w:val="0"/>
          <w:sz w:val="32"/>
          <w:szCs w:val="32"/>
        </w:rPr>
        <w:t>核医学与分子影像</w:t>
      </w:r>
    </w:p>
    <w:p w14:paraId="520D473E">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二、主要</w:t>
      </w:r>
      <w:r>
        <w:rPr>
          <w:rFonts w:hint="eastAsia" w:ascii="仿宋_GB2312" w:hAnsi="仿宋_GB2312" w:eastAsia="仿宋_GB2312" w:cs="仿宋_GB2312"/>
          <w:b/>
          <w:bCs/>
          <w:kern w:val="0"/>
          <w:sz w:val="32"/>
          <w:szCs w:val="32"/>
          <w:lang w:val="en-US" w:eastAsia="zh-CN"/>
        </w:rPr>
        <w:t>研究</w:t>
      </w:r>
      <w:r>
        <w:rPr>
          <w:rFonts w:hint="eastAsia" w:ascii="仿宋_GB2312" w:hAnsi="仿宋_GB2312" w:eastAsia="仿宋_GB2312" w:cs="仿宋_GB2312"/>
          <w:b/>
          <w:bCs/>
          <w:kern w:val="0"/>
          <w:sz w:val="32"/>
          <w:szCs w:val="32"/>
        </w:rPr>
        <w:t>内容</w:t>
      </w:r>
    </w:p>
    <w:p w14:paraId="73D82016">
      <w:pPr>
        <w:keepNext w:val="0"/>
        <w:keepLines w:val="0"/>
        <w:pageBreakBefore w:val="0"/>
        <w:widowControl/>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基于高端PET/CT系统，开展呼吸运动校正在上腹部 18F-FDG PET/CT 检查中的临床研究，比较常规图像重建与呼吸运动校正后图像在上腹部病灶显示中的差异</w:t>
      </w:r>
      <w:r>
        <w:rPr>
          <w:rFonts w:hint="eastAsia" w:ascii="仿宋_GB2312" w:hAnsi="仿宋_GB2312" w:eastAsia="仿宋_GB2312" w:cs="仿宋_GB2312"/>
          <w:kern w:val="0"/>
          <w:sz w:val="32"/>
          <w:szCs w:val="32"/>
          <w:lang w:eastAsia="zh-CN"/>
        </w:rPr>
        <w:t>；</w:t>
      </w:r>
    </w:p>
    <w:p w14:paraId="722CB3B0">
      <w:pPr>
        <w:keepNext w:val="0"/>
        <w:keepLines w:val="0"/>
        <w:pageBreakBefore w:val="0"/>
        <w:widowControl/>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该研究尽量覆盖不同类型患者（包括成年男性与女性患者）与上腹部常见原发性及转移性病变（如肝脏、胰腺、胃、胆道、腹膜后病灶等）以提高研究结果的临床适用性。重点验证呼吸运动校正技术对上腹部PET/CT图像质量、PET/CT融合对位准确性、病灶边界显示及小病灶检出能力的改善作用</w:t>
      </w:r>
      <w:r>
        <w:rPr>
          <w:rFonts w:hint="eastAsia" w:ascii="仿宋_GB2312" w:hAnsi="仿宋_GB2312" w:eastAsia="仿宋_GB2312" w:cs="仿宋_GB2312"/>
          <w:kern w:val="0"/>
          <w:sz w:val="32"/>
          <w:szCs w:val="32"/>
          <w:lang w:eastAsia="zh-CN"/>
        </w:rPr>
        <w:t>；</w:t>
      </w:r>
    </w:p>
    <w:p w14:paraId="37F668B7">
      <w:pPr>
        <w:keepNext w:val="0"/>
        <w:keepLines w:val="0"/>
        <w:pageBreakBefore w:val="0"/>
        <w:widowControl/>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由较高年资的核医学诊断医师对图像进行评估，比较呼吸运动校正前后病灶SUVmax、TBR、病灶体积等半定量指标的变化，评价呼吸运动校正技术对病灶定量分析准确性的影响</w:t>
      </w:r>
      <w:r>
        <w:rPr>
          <w:rFonts w:hint="eastAsia" w:ascii="仿宋_GB2312" w:hAnsi="仿宋_GB2312" w:eastAsia="仿宋_GB2312" w:cs="仿宋_GB2312"/>
          <w:kern w:val="0"/>
          <w:sz w:val="32"/>
          <w:szCs w:val="32"/>
          <w:lang w:eastAsia="zh-CN"/>
        </w:rPr>
        <w:t>；</w:t>
      </w:r>
    </w:p>
    <w:p w14:paraId="031BFF0A">
      <w:pPr>
        <w:keepNext w:val="0"/>
        <w:keepLines w:val="0"/>
        <w:pageBreakBefore w:val="0"/>
        <w:widowControl/>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结合临床诊断、病理结果及随访资料，进一步分析呼吸运动校正技术对上腹部病灶诊断判断、分期评估及临床诊疗决策的应用价值。</w:t>
      </w:r>
    </w:p>
    <w:p w14:paraId="0A9399F9">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rPr>
        <w:t>三、项目考核指标（项目执行期内</w:t>
      </w:r>
      <w:r>
        <w:rPr>
          <w:rFonts w:hint="eastAsia" w:ascii="仿宋_GB2312" w:hAnsi="仿宋_GB2312" w:eastAsia="仿宋_GB2312" w:cs="仿宋_GB2312"/>
          <w:b/>
          <w:bCs/>
          <w:kern w:val="0"/>
          <w:sz w:val="32"/>
          <w:szCs w:val="32"/>
          <w:lang w:eastAsia="zh-CN"/>
        </w:rPr>
        <w:t>）</w:t>
      </w:r>
    </w:p>
    <w:p w14:paraId="667FF390">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建立覆盖上腹部常见病变类型的临床—影像数据库，完成</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50例上腹部病灶患者18F-FDG PET/CT资料收集</w:t>
      </w:r>
      <w:r>
        <w:rPr>
          <w:rFonts w:hint="eastAsia" w:ascii="仿宋_GB2312" w:hAnsi="仿宋_GB2312" w:eastAsia="仿宋_GB2312" w:cs="仿宋_GB2312"/>
          <w:kern w:val="0"/>
          <w:sz w:val="32"/>
          <w:szCs w:val="32"/>
          <w:lang w:eastAsia="zh-CN"/>
        </w:rPr>
        <w:t>；</w:t>
      </w:r>
    </w:p>
    <w:p w14:paraId="55AFC0D7">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完成常规图像与呼吸运动校正图像的对比分析，形成</w:t>
      </w:r>
      <w:r>
        <w:rPr>
          <w:rFonts w:hint="eastAsia" w:ascii="仿宋_GB2312" w:hAnsi="仿宋_GB2312" w:eastAsia="仿宋_GB2312" w:cs="仿宋_GB2312"/>
          <w:kern w:val="0"/>
          <w:sz w:val="32"/>
          <w:szCs w:val="32"/>
          <w:lang w:val="en-US" w:eastAsia="zh-CN"/>
        </w:rPr>
        <w:t>≥1份</w:t>
      </w:r>
      <w:r>
        <w:rPr>
          <w:rFonts w:hint="eastAsia" w:ascii="仿宋_GB2312" w:hAnsi="仿宋_GB2312" w:eastAsia="仿宋_GB2312" w:cs="仿宋_GB2312"/>
          <w:kern w:val="0"/>
          <w:sz w:val="32"/>
          <w:szCs w:val="32"/>
        </w:rPr>
        <w:t>图像质量评价及临床应用评估报告；完成呼吸运动校正对病灶检出率、PET/CT融合准确性及半定量参数影响的统计分析</w:t>
      </w:r>
      <w:r>
        <w:rPr>
          <w:rFonts w:hint="eastAsia" w:ascii="仿宋_GB2312" w:hAnsi="仿宋_GB2312" w:eastAsia="仿宋_GB2312" w:cs="仿宋_GB2312"/>
          <w:kern w:val="0"/>
          <w:sz w:val="32"/>
          <w:szCs w:val="32"/>
          <w:lang w:eastAsia="zh-CN"/>
        </w:rPr>
        <w:t>；</w:t>
      </w:r>
    </w:p>
    <w:p w14:paraId="5285D6AA">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形成</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1套适用于上腹部18F-FDG PET/CT检查的呼吸运动校正应用流程或图像判读建议</w:t>
      </w:r>
      <w:r>
        <w:rPr>
          <w:rFonts w:hint="eastAsia" w:ascii="仿宋_GB2312" w:hAnsi="仿宋_GB2312" w:eastAsia="仿宋_GB2312" w:cs="仿宋_GB2312"/>
          <w:kern w:val="0"/>
          <w:sz w:val="32"/>
          <w:szCs w:val="32"/>
          <w:lang w:eastAsia="zh-CN"/>
        </w:rPr>
        <w:t>；</w:t>
      </w:r>
    </w:p>
    <w:p w14:paraId="73891A70">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发表相关论文</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1篇或申请专利</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lang w:val="en-US" w:eastAsia="zh-CN"/>
        </w:rPr>
        <w:t>或</w:t>
      </w:r>
      <w:r>
        <w:rPr>
          <w:rFonts w:hint="eastAsia" w:ascii="仿宋_GB2312" w:hAnsi="仿宋_GB2312" w:eastAsia="仿宋_GB2312" w:cs="仿宋_GB2312"/>
          <w:kern w:val="0"/>
          <w:sz w:val="32"/>
          <w:szCs w:val="32"/>
        </w:rPr>
        <w:t>软件著作权</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1项，形成院内新技术新项目</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1项</w:t>
      </w:r>
      <w:r>
        <w:rPr>
          <w:rFonts w:hint="eastAsia" w:ascii="仿宋_GB2312" w:hAnsi="仿宋_GB2312" w:eastAsia="仿宋_GB2312" w:cs="仿宋_GB2312"/>
          <w:kern w:val="0"/>
          <w:sz w:val="32"/>
          <w:szCs w:val="32"/>
          <w:lang w:eastAsia="zh-CN"/>
        </w:rPr>
        <w:t>；</w:t>
      </w:r>
    </w:p>
    <w:p w14:paraId="6DC81CFE">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项目执行期间参加年度成果交流会</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次。</w:t>
      </w:r>
    </w:p>
    <w:p w14:paraId="310D221A">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四、项目实施年限：</w:t>
      </w:r>
      <w:r>
        <w:rPr>
          <w:rFonts w:hint="eastAsia" w:ascii="仿宋_GB2312" w:hAnsi="仿宋_GB2312" w:eastAsia="仿宋_GB2312" w:cs="仿宋_GB2312"/>
          <w:b w:val="0"/>
          <w:bCs/>
          <w:kern w:val="0"/>
          <w:sz w:val="32"/>
          <w:szCs w:val="32"/>
          <w:lang w:val="en-US" w:eastAsia="zh-CN"/>
        </w:rPr>
        <w:t>不超过</w:t>
      </w:r>
      <w:r>
        <w:rPr>
          <w:rFonts w:hint="eastAsia" w:ascii="仿宋_GB2312" w:hAnsi="仿宋_GB2312" w:eastAsia="仿宋_GB2312" w:cs="仿宋_GB2312"/>
          <w:b w:val="0"/>
          <w:bCs/>
          <w:kern w:val="0"/>
          <w:sz w:val="32"/>
          <w:szCs w:val="32"/>
        </w:rPr>
        <w:t>2年</w:t>
      </w:r>
    </w:p>
    <w:p w14:paraId="5FE21397">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五、资助金额：</w:t>
      </w:r>
      <w:r>
        <w:rPr>
          <w:rFonts w:hint="eastAsia" w:ascii="仿宋_GB2312" w:hAnsi="仿宋_GB2312" w:eastAsia="仿宋_GB2312" w:cs="仿宋_GB2312"/>
          <w:kern w:val="0"/>
          <w:sz w:val="32"/>
          <w:szCs w:val="32"/>
        </w:rPr>
        <w:t>不超过20万元</w:t>
      </w:r>
    </w:p>
    <w:p w14:paraId="4D6773CF">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4EE2C1F">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9" w:name="_Toc226466353"/>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4007 </w:t>
      </w:r>
      <w:r>
        <w:rPr>
          <w:rFonts w:hint="eastAsia" w:ascii="方正小标宋简体" w:hAnsi="方正小标宋简体" w:eastAsia="方正小标宋简体" w:cs="方正小标宋简体"/>
          <w:bCs/>
          <w:sz w:val="44"/>
          <w:szCs w:val="44"/>
          <w:lang w:eastAsia="zh-CN"/>
        </w:rPr>
        <w:t>基于18F-FDG PET/CT深度学习迭代重建技术的肺腺癌多病理侵犯术前预测研究</w:t>
      </w:r>
      <w:bookmarkEnd w:id="9"/>
    </w:p>
    <w:p w14:paraId="6C955AF2">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201F9241">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PET-CT成像</w:t>
      </w:r>
    </w:p>
    <w:p w14:paraId="763A9E27">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kern w:val="0"/>
          <w:sz w:val="32"/>
          <w:szCs w:val="32"/>
        </w:rPr>
        <w:t>主要</w:t>
      </w:r>
      <w:r>
        <w:rPr>
          <w:rFonts w:hint="eastAsia" w:ascii="仿宋_GB2312" w:hAnsi="仿宋_GB2312" w:eastAsia="仿宋_GB2312" w:cs="仿宋_GB2312"/>
          <w:b/>
          <w:bCs/>
          <w:kern w:val="0"/>
          <w:sz w:val="32"/>
          <w:szCs w:val="32"/>
          <w:lang w:val="en-US" w:eastAsia="zh-CN"/>
        </w:rPr>
        <w:t>研究</w:t>
      </w:r>
      <w:r>
        <w:rPr>
          <w:rFonts w:hint="eastAsia" w:ascii="仿宋_GB2312" w:hAnsi="仿宋_GB2312" w:eastAsia="仿宋_GB2312" w:cs="仿宋_GB2312"/>
          <w:b/>
          <w:bCs/>
          <w:kern w:val="0"/>
          <w:sz w:val="32"/>
          <w:szCs w:val="32"/>
        </w:rPr>
        <w:t>内容</w:t>
      </w:r>
    </w:p>
    <w:p w14:paraId="41D23681">
      <w:pPr>
        <w:keepNext w:val="0"/>
        <w:keepLines w:val="0"/>
        <w:pageBreakBefore w:val="0"/>
        <w:numPr>
          <w:ilvl w:val="0"/>
          <w:numId w:val="0"/>
        </w:numPr>
        <w:tabs>
          <w:tab w:val="left" w:pos="709"/>
          <w:tab w:val="left" w:pos="1134"/>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基于数字化PET-CT采集肺腺癌多病理侵犯（STAS、LVI、PLVI）图像数据，采用深度学习迭代重建技术进行图像重建，</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高年资临床医师对临床数据及PET/CT扫描结果进行评价，验证该重建技术的特征优化价值</w:t>
      </w:r>
      <w:r>
        <w:rPr>
          <w:rFonts w:hint="eastAsia" w:ascii="仿宋_GB2312" w:hAnsi="仿宋_GB2312" w:eastAsia="仿宋_GB2312" w:cs="仿宋_GB2312"/>
          <w:sz w:val="32"/>
          <w:szCs w:val="32"/>
          <w:lang w:eastAsia="zh-CN"/>
        </w:rPr>
        <w:t>；</w:t>
      </w:r>
    </w:p>
    <w:p w14:paraId="3881C1EA">
      <w:pPr>
        <w:keepNext w:val="0"/>
        <w:keepLines w:val="0"/>
        <w:pageBreakBefore w:val="0"/>
        <w:numPr>
          <w:ilvl w:val="0"/>
          <w:numId w:val="0"/>
        </w:numPr>
        <w:tabs>
          <w:tab w:val="left" w:pos="709"/>
          <w:tab w:val="left" w:pos="1134"/>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针对肺腺癌多病理侵犯（STAS、LVI、PLVI），分别构建临床模型、影像组学模型、临床 + 影像组学联合模型，以AUC、灵敏度、特异性等参数作为判断标准系统优化模型</w:t>
      </w:r>
      <w:r>
        <w:rPr>
          <w:rFonts w:hint="eastAsia" w:ascii="仿宋_GB2312" w:hAnsi="仿宋_GB2312" w:eastAsia="仿宋_GB2312" w:cs="仿宋_GB2312"/>
          <w:sz w:val="32"/>
          <w:szCs w:val="32"/>
          <w:lang w:eastAsia="zh-CN"/>
        </w:rPr>
        <w:t>；</w:t>
      </w:r>
    </w:p>
    <w:p w14:paraId="64F8F9AF">
      <w:pPr>
        <w:keepNext w:val="0"/>
        <w:keepLines w:val="0"/>
        <w:pageBreakBefore w:val="0"/>
        <w:numPr>
          <w:ilvl w:val="0"/>
          <w:numId w:val="0"/>
        </w:numPr>
        <w:tabs>
          <w:tab w:val="left" w:pos="709"/>
          <w:tab w:val="left" w:pos="1134"/>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从区分度、校准度、精准度和临床实用性等维度验证上述模型，确保模型稳定性与泛化能力，实现 STAS、LVI、PLVI的术前预测，为手术方案选择和辅助治疗决策提供影像学依据。</w:t>
      </w:r>
    </w:p>
    <w:p w14:paraId="3E8F99F2">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三、</w:t>
      </w:r>
      <w:r>
        <w:rPr>
          <w:rFonts w:hint="eastAsia" w:ascii="仿宋_GB2312" w:hAnsi="仿宋_GB2312" w:eastAsia="仿宋_GB2312" w:cs="仿宋_GB2312"/>
          <w:b/>
          <w:bCs/>
          <w:sz w:val="32"/>
          <w:szCs w:val="32"/>
        </w:rPr>
        <w:t>项目考核指标（项目执行期内）</w:t>
      </w:r>
    </w:p>
    <w:p w14:paraId="2611BDEB">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1.构建临床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影像数据库，收集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100例肺腺癌多病理侵犯病例</w:t>
      </w:r>
      <w:r>
        <w:rPr>
          <w:rFonts w:hint="eastAsia" w:ascii="仿宋_GB2312" w:hAnsi="仿宋_GB2312" w:eastAsia="仿宋_GB2312" w:cs="仿宋_GB2312"/>
          <w:sz w:val="32"/>
          <w:szCs w:val="32"/>
          <w:lang w:eastAsia="zh-CN"/>
        </w:rPr>
        <w:t>；</w:t>
      </w:r>
    </w:p>
    <w:p w14:paraId="11AFB48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2.系统比较深度学习迭代重建技术在肺腺癌多病理侵犯场景下的技术特点与性能优势，深入探究该算法在术前预测中的应用价值与实践路径，最终形成</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兼具数据支撑与应用指导意义的专项研究报告</w:t>
      </w:r>
      <w:r>
        <w:rPr>
          <w:rFonts w:hint="eastAsia" w:ascii="仿宋_GB2312" w:hAnsi="仿宋_GB2312" w:eastAsia="仿宋_GB2312" w:cs="仿宋_GB2312"/>
          <w:sz w:val="32"/>
          <w:szCs w:val="32"/>
          <w:lang w:eastAsia="zh-CN"/>
        </w:rPr>
        <w:t>；</w:t>
      </w:r>
    </w:p>
    <w:p w14:paraId="1CAD051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1篇中英文摘要/文章/专利等成果</w:t>
      </w:r>
      <w:r>
        <w:rPr>
          <w:rFonts w:hint="eastAsia" w:ascii="仿宋_GB2312" w:hAnsi="仿宋_GB2312" w:eastAsia="仿宋_GB2312" w:cs="仿宋_GB2312"/>
          <w:sz w:val="32"/>
          <w:szCs w:val="32"/>
          <w:lang w:eastAsia="zh-CN"/>
        </w:rPr>
        <w:t>；</w:t>
      </w:r>
    </w:p>
    <w:p w14:paraId="34AA2F9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kern w:val="0"/>
          <w:sz w:val="32"/>
          <w:szCs w:val="32"/>
        </w:rPr>
        <w:t>项目执行期间参加年度成果交流会</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次。</w:t>
      </w:r>
    </w:p>
    <w:p w14:paraId="7FF03F3E">
      <w:pPr>
        <w:keepNext w:val="0"/>
        <w:keepLines w:val="0"/>
        <w:pageBreakBefore w:val="0"/>
        <w:numPr>
          <w:ilvl w:val="0"/>
          <w:numId w:val="0"/>
        </w:numPr>
        <w:kinsoku/>
        <w:wordWrap/>
        <w:overflowPunct/>
        <w:topLinePunct w:val="0"/>
        <w:autoSpaceDE/>
        <w:autoSpaceDN/>
        <w:bidi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四、</w:t>
      </w:r>
      <w:r>
        <w:rPr>
          <w:rFonts w:hint="eastAsia" w:ascii="仿宋_GB2312" w:hAnsi="仿宋_GB2312" w:eastAsia="仿宋_GB2312" w:cs="仿宋_GB2312"/>
          <w:b/>
          <w:bCs/>
          <w:sz w:val="32"/>
          <w:szCs w:val="32"/>
        </w:rPr>
        <w:t>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2年</w:t>
      </w:r>
    </w:p>
    <w:p w14:paraId="3EB71EBE">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五、</w:t>
      </w:r>
      <w:r>
        <w:rPr>
          <w:rFonts w:hint="eastAsia" w:ascii="仿宋_GB2312" w:hAnsi="仿宋_GB2312" w:eastAsia="仿宋_GB2312" w:cs="仿宋_GB2312"/>
          <w:b/>
          <w:bCs/>
          <w:sz w:val="32"/>
          <w:szCs w:val="32"/>
        </w:rPr>
        <w:t>资助金额：</w:t>
      </w:r>
      <w:r>
        <w:rPr>
          <w:rFonts w:hint="eastAsia" w:ascii="仿宋_GB2312" w:hAnsi="仿宋_GB2312" w:eastAsia="仿宋_GB2312" w:cs="仿宋_GB2312"/>
          <w:sz w:val="32"/>
          <w:szCs w:val="32"/>
        </w:rPr>
        <w:t>不超过20万元</w:t>
      </w:r>
    </w:p>
    <w:p w14:paraId="1894DC81">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p>
    <w:p w14:paraId="0787B6A8">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75B4CF2">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10" w:name="_Toc226466354"/>
      <w:bookmarkStart w:id="11" w:name="OLE_LINK23"/>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4008 </w:t>
      </w:r>
      <w:r>
        <w:rPr>
          <w:rFonts w:hint="eastAsia" w:ascii="方正小标宋简体" w:hAnsi="方正小标宋简体" w:eastAsia="方正小标宋简体" w:cs="方正小标宋简体"/>
          <w:bCs/>
          <w:sz w:val="44"/>
          <w:szCs w:val="44"/>
          <w:lang w:eastAsia="zh-CN"/>
        </w:rPr>
        <w:t>深度学习重建算法结合儿科专用摆位装置在学龄前患者PET/CT快速成像与低剂量成像中的应用价值研究</w:t>
      </w:r>
      <w:bookmarkEnd w:id="10"/>
    </w:p>
    <w:p w14:paraId="2F0B9F9C">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44A3BED9">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分子影像</w:t>
      </w:r>
    </w:p>
    <w:p w14:paraId="58DD69FD">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p>
    <w:p w14:paraId="413802F9">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1.依托同时集成OSEM算法和深度学习重建算法的分子影像诊疗系统并结合儿科专用摆位装置的固定优势解决学龄前患者在分子影像检查中对辐射的高敏感性和难以长时间维持静止体位的临床痛点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探究深度学习重建算法联合儿科摆位装置在儿童患者扫描工作流优化中的应用</w:t>
      </w:r>
      <w:r>
        <w:rPr>
          <w:rFonts w:hint="eastAsia" w:ascii="仿宋_GB2312" w:hAnsi="仿宋_GB2312" w:eastAsia="仿宋_GB2312" w:cs="仿宋_GB2312"/>
          <w:sz w:val="32"/>
          <w:szCs w:val="32"/>
          <w:lang w:eastAsia="zh-CN"/>
        </w:rPr>
        <w:t>；</w:t>
      </w:r>
    </w:p>
    <w:p w14:paraId="1CD6F229">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2.借助儿科专用摆位附件（包含额头绑带、头托垫、胸腹部绑带等）固定体位，按统一常规扫描工作流进行数据采集；</w:t>
      </w:r>
    </w:p>
    <w:p w14:paraId="7D14D15A">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3.分别采用 OSEM 算法与深度学习重建算法进行图像重建，从图像噪声、信噪比、解剖结构显示清晰度及病灶可识别性等维度系统对比两种算法的重建性能；</w:t>
      </w:r>
    </w:p>
    <w:p w14:paraId="22B06E52">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4.以常规扫描时长为标准，采用截断数据模拟快速扫描场景，再次重建后对比两种算法重建在快速成像场景下的重建效果，明确联合应用的技术优势；</w:t>
      </w:r>
    </w:p>
    <w:p w14:paraId="658506BF">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采集常规剂量扫描数据，通过截断数据模拟不同梯度低剂量扫描场景；基于模拟结果展开真实低剂量数据采集。对模拟及真实低剂量场景下，两种算法重建的图像进行配对比较，从图像噪声、信噪比、解剖结构清晰度及病灶辨识度等维度，评估深度学习重建算法在低剂量成像中的应用价值。</w:t>
      </w:r>
    </w:p>
    <w:p w14:paraId="3B60A7C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06104CD7">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1.前瞻性纳入并完成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30例符合标准的</w:t>
      </w:r>
      <w:r>
        <w:rPr>
          <w:rFonts w:hint="eastAsia" w:ascii="仿宋_GB2312" w:hAnsi="仿宋_GB2312" w:eastAsia="仿宋_GB2312" w:cs="仿宋_GB2312"/>
          <w:sz w:val="32"/>
          <w:szCs w:val="32"/>
          <w:lang w:eastAsia="zh-CN"/>
        </w:rPr>
        <w:t>0—6岁</w:t>
      </w:r>
      <w:r>
        <w:rPr>
          <w:rFonts w:hint="eastAsia" w:ascii="仿宋_GB2312" w:hAnsi="仿宋_GB2312" w:eastAsia="仿宋_GB2312" w:cs="仿宋_GB2312"/>
          <w:sz w:val="32"/>
          <w:szCs w:val="32"/>
        </w:rPr>
        <w:t>学龄前患者PET/CT数据收集</w:t>
      </w:r>
      <w:r>
        <w:rPr>
          <w:rFonts w:hint="eastAsia" w:ascii="仿宋_GB2312" w:hAnsi="仿宋_GB2312" w:eastAsia="仿宋_GB2312" w:cs="仿宋_GB2312"/>
          <w:sz w:val="32"/>
          <w:szCs w:val="32"/>
          <w:lang w:eastAsia="zh-CN"/>
        </w:rPr>
        <w:t>；</w:t>
      </w:r>
    </w:p>
    <w:p w14:paraId="3A6090A6">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2.系统比较深度学习重建算法联合儿科摆位设备在快速扫描成像、低剂量成像场景下的技术特点与性能优势，深入探究该算法在优化儿童患者分子影像扫描工作流中的应用价值与实践路径，最终形成</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兼具数据支撑与应用指导意义的专项研究报告</w:t>
      </w:r>
      <w:r>
        <w:rPr>
          <w:rFonts w:hint="eastAsia" w:ascii="仿宋_GB2312" w:hAnsi="仿宋_GB2312" w:eastAsia="仿宋_GB2312" w:cs="仿宋_GB2312"/>
          <w:sz w:val="32"/>
          <w:szCs w:val="32"/>
          <w:lang w:eastAsia="zh-CN"/>
        </w:rPr>
        <w:t>；</w:t>
      </w:r>
    </w:p>
    <w:p w14:paraId="259A0127">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r>
        <w:rPr>
          <w:rFonts w:hint="eastAsia" w:ascii="仿宋_GB2312" w:hAnsi="仿宋_GB2312" w:eastAsia="仿宋_GB2312" w:cs="仿宋_GB2312"/>
          <w:sz w:val="32"/>
          <w:szCs w:val="32"/>
          <w:lang w:eastAsia="zh-CN"/>
        </w:rPr>
        <w:t>；</w:t>
      </w:r>
    </w:p>
    <w:p w14:paraId="202B0EA2">
      <w:pPr>
        <w:keepNext w:val="0"/>
        <w:keepLines w:val="0"/>
        <w:pageBreakBefore w:val="0"/>
        <w:tabs>
          <w:tab w:val="left" w:pos="567"/>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kern w:val="0"/>
          <w:sz w:val="32"/>
          <w:szCs w:val="32"/>
        </w:rPr>
        <w:t>项目执行期间参加年度成果交流会</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次</w:t>
      </w:r>
      <w:r>
        <w:rPr>
          <w:rFonts w:hint="eastAsia" w:ascii="仿宋_GB2312" w:hAnsi="仿宋_GB2312" w:eastAsia="仿宋_GB2312" w:cs="仿宋_GB2312"/>
          <w:sz w:val="32"/>
          <w:szCs w:val="32"/>
        </w:rPr>
        <w:t>。</w:t>
      </w:r>
    </w:p>
    <w:p w14:paraId="2EDD320C">
      <w:pPr>
        <w:keepNext w:val="0"/>
        <w:keepLines w:val="0"/>
        <w:pageBreakBefore w:val="0"/>
        <w:tabs>
          <w:tab w:val="left" w:pos="567"/>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76D5BDFD">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不超过20万元</w:t>
      </w:r>
      <w:bookmarkEnd w:id="11"/>
    </w:p>
    <w:p w14:paraId="5CD71203">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7659128">
      <w:pPr>
        <w:keepNext w:val="0"/>
        <w:keepLines w:val="0"/>
        <w:pageBreakBefore w:val="0"/>
        <w:kinsoku/>
        <w:wordWrap/>
        <w:overflowPunct/>
        <w:topLinePunct w:val="0"/>
        <w:autoSpaceDE/>
        <w:autoSpaceDN/>
        <w:bidi w:val="0"/>
        <w:adjustRightInd w:val="0"/>
        <w:snapToGrid w:val="0"/>
        <w:spacing w:line="560" w:lineRule="exact"/>
        <w:jc w:val="left"/>
        <w:textAlignment w:val="auto"/>
        <w:outlineLvl w:val="0"/>
        <w:rPr>
          <w:rFonts w:hint="eastAsia" w:ascii="仿宋_GB2312" w:hAnsi="仿宋_GB2312" w:eastAsia="仿宋_GB2312" w:cs="仿宋_GB2312"/>
          <w:b/>
          <w:bCs w:val="0"/>
          <w:sz w:val="32"/>
          <w:szCs w:val="32"/>
        </w:rPr>
      </w:pPr>
      <w:bookmarkStart w:id="12" w:name="_Toc226466355"/>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CT部分</w:t>
      </w:r>
      <w:bookmarkEnd w:id="12"/>
      <w:r>
        <w:rPr>
          <w:rFonts w:hint="eastAsia" w:ascii="仿宋_GB2312" w:hAnsi="仿宋_GB2312" w:eastAsia="仿宋_GB2312" w:cs="仿宋_GB2312"/>
          <w:bCs/>
          <w:sz w:val="32"/>
          <w:szCs w:val="32"/>
        </w:rPr>
        <w:t>】</w:t>
      </w:r>
    </w:p>
    <w:p w14:paraId="48348319">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13" w:name="_Toc226466356"/>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4009 </w:t>
      </w:r>
      <w:r>
        <w:rPr>
          <w:rFonts w:hint="eastAsia" w:ascii="方正小标宋简体" w:hAnsi="方正小标宋简体" w:eastAsia="方正小标宋简体" w:cs="方正小标宋简体"/>
          <w:bCs/>
          <w:sz w:val="44"/>
          <w:szCs w:val="44"/>
          <w:lang w:eastAsia="zh-CN"/>
        </w:rPr>
        <w:t>国产超高端CT在急腹症患者扫描中的诊断价值和应用研究</w:t>
      </w:r>
      <w:bookmarkEnd w:id="13"/>
    </w:p>
    <w:p w14:paraId="06D43A8D">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2196304C">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计算机断层扫描成像</w:t>
      </w:r>
    </w:p>
    <w:p w14:paraId="19C7A1C3">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二、主要</w:t>
      </w:r>
      <w:r>
        <w:rPr>
          <w:rFonts w:hint="eastAsia" w:ascii="仿宋_GB2312" w:hAnsi="仿宋_GB2312" w:eastAsia="仿宋_GB2312" w:cs="仿宋_GB2312"/>
          <w:b/>
          <w:bCs/>
          <w:sz w:val="32"/>
          <w:szCs w:val="32"/>
          <w:lang w:val="en-US" w:eastAsia="zh-CN"/>
        </w:rPr>
        <w:t>研究内容</w:t>
      </w:r>
    </w:p>
    <w:p w14:paraId="1A957AA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一站式扫描方案优化：依托国产双源宽体超高端CT快速成像与精准重建技术，针对急腹症患者开展扫描参数个体化优化与重建算法迭代，构建标准化一站式诊断方案，简化检查流程，大幅缩短从扫描到出结果的全流程诊断时间，满足急危重症救治时效核心需求</w:t>
      </w:r>
      <w:r>
        <w:rPr>
          <w:rFonts w:hint="eastAsia" w:ascii="仿宋_GB2312" w:hAnsi="仿宋_GB2312" w:eastAsia="仿宋_GB2312" w:cs="仿宋_GB2312"/>
          <w:sz w:val="32"/>
          <w:szCs w:val="32"/>
          <w:lang w:eastAsia="zh-CN"/>
        </w:rPr>
        <w:t>；</w:t>
      </w:r>
    </w:p>
    <w:p w14:paraId="738E1C38">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隐匿损伤检出率提升：深度探索肠梗阻、肠套叠、空腔脏器破裂穿孔、输尿管结石、急性胰腺炎等严重隐匿性损伤等目标疾病的CT影像特征，提升早期检出精准度。</w:t>
      </w:r>
    </w:p>
    <w:p w14:paraId="2DDD9737">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28FEF106">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576"/>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1.建立急诊CT诊断标准化数据库，前瞻性纳入并完成至少30例急腹症患者病例的数据采集</w:t>
      </w:r>
      <w:r>
        <w:rPr>
          <w:rFonts w:hint="eastAsia" w:ascii="仿宋_GB2312" w:hAnsi="仿宋_GB2312" w:eastAsia="仿宋_GB2312" w:cs="仿宋_GB2312"/>
          <w:sz w:val="32"/>
          <w:szCs w:val="32"/>
          <w:lang w:eastAsia="zh-CN"/>
        </w:rPr>
        <w:t>；</w:t>
      </w:r>
    </w:p>
    <w:p w14:paraId="5771371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2.形成临床推广应用方案，满足急腹症患者诊断全流程周转时间较传统影像设备缩短≥15%，目标隐匿性病变检出率较传统诊断方式提升≥10%</w:t>
      </w:r>
      <w:r>
        <w:rPr>
          <w:rFonts w:hint="eastAsia" w:ascii="仿宋_GB2312" w:hAnsi="仿宋_GB2312" w:eastAsia="仿宋_GB2312" w:cs="仿宋_GB2312"/>
          <w:sz w:val="32"/>
          <w:szCs w:val="32"/>
          <w:lang w:eastAsia="zh-CN"/>
        </w:rPr>
        <w:t>；</w:t>
      </w:r>
    </w:p>
    <w:p w14:paraId="2D5A5062">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3.发表相关论文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1项。</w:t>
      </w:r>
    </w:p>
    <w:p w14:paraId="7CCA84D5">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kern w:val="0"/>
          <w:sz w:val="32"/>
          <w:szCs w:val="32"/>
        </w:rPr>
        <w:t>项目执行期间参加年度成果交流会</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 xml:space="preserve"> </w:t>
      </w:r>
    </w:p>
    <w:p w14:paraId="0056D94B">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26A1289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不超过20万元</w:t>
      </w:r>
      <w:r>
        <w:rPr>
          <w:rFonts w:hint="eastAsia" w:ascii="仿宋_GB2312" w:hAnsi="仿宋_GB2312" w:eastAsia="仿宋_GB2312" w:cs="仿宋_GB2312"/>
          <w:sz w:val="32"/>
          <w:szCs w:val="32"/>
        </w:rPr>
        <w:br w:type="page"/>
      </w:r>
    </w:p>
    <w:p w14:paraId="2B846EAA">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14" w:name="_Toc226466357"/>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4010 </w:t>
      </w:r>
      <w:r>
        <w:rPr>
          <w:rFonts w:hint="eastAsia" w:ascii="方正小标宋简体" w:hAnsi="方正小标宋简体" w:eastAsia="方正小标宋简体" w:cs="方正小标宋简体"/>
          <w:bCs/>
          <w:sz w:val="44"/>
          <w:szCs w:val="44"/>
          <w:lang w:eastAsia="zh-CN"/>
        </w:rPr>
        <w:t>基于人工智能算法重建</w:t>
      </w:r>
      <w:bookmarkStart w:id="15" w:name="_Hlk226298422"/>
      <w:r>
        <w:rPr>
          <w:rFonts w:hint="eastAsia" w:ascii="方正小标宋简体" w:hAnsi="方正小标宋简体" w:eastAsia="方正小标宋简体" w:cs="方正小标宋简体"/>
          <w:bCs/>
          <w:sz w:val="44"/>
          <w:szCs w:val="44"/>
          <w:lang w:eastAsia="zh-CN"/>
        </w:rPr>
        <w:t>2型糖尿病豆纹动脉CTA可视化</w:t>
      </w:r>
      <w:bookmarkEnd w:id="15"/>
      <w:r>
        <w:rPr>
          <w:rFonts w:hint="eastAsia" w:ascii="方正小标宋简体" w:hAnsi="方正小标宋简体" w:eastAsia="方正小标宋简体" w:cs="方正小标宋简体"/>
          <w:bCs/>
          <w:sz w:val="44"/>
          <w:szCs w:val="44"/>
          <w:lang w:eastAsia="zh-CN"/>
        </w:rPr>
        <w:t>及临床应用研究</w:t>
      </w:r>
      <w:bookmarkEnd w:id="14"/>
    </w:p>
    <w:p w14:paraId="5DDDF166">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12962B1B">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计算机断层扫描成像</w:t>
      </w:r>
    </w:p>
    <w:p w14:paraId="260058E4">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rPr>
        <w:t>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p>
    <w:p w14:paraId="765EF180">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基于超高端CT系统以及人工智能算法重建评估糖尿病豆纹动脉，实现细小穿支动脉高质量显像，对比该技术与传统重建方法的显像效果，验证其在细小穿支动脉成像中的优势</w:t>
      </w:r>
      <w:r>
        <w:rPr>
          <w:rFonts w:hint="eastAsia" w:ascii="仿宋_GB2312" w:hAnsi="仿宋_GB2312" w:eastAsia="仿宋_GB2312" w:cs="仿宋_GB2312"/>
          <w:sz w:val="32"/>
          <w:szCs w:val="32"/>
          <w:lang w:eastAsia="zh-CN"/>
        </w:rPr>
        <w:t>；</w:t>
      </w:r>
    </w:p>
    <w:p w14:paraId="3363B110">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基于人工智能算法重建后的高质量豆纹动脉CTA影像分析2型糖尿病豆纹动脉形态学特征与病程、糖化血红蛋白、脑小血管病、认知功能的相关性，探究糖尿病脑微血管损伤的影像学表征规律</w:t>
      </w:r>
      <w:r>
        <w:rPr>
          <w:rFonts w:hint="eastAsia" w:ascii="仿宋_GB2312" w:hAnsi="仿宋_GB2312" w:eastAsia="仿宋_GB2312" w:cs="仿宋_GB2312"/>
          <w:sz w:val="32"/>
          <w:szCs w:val="32"/>
          <w:lang w:eastAsia="zh-CN"/>
        </w:rPr>
        <w:t>；</w:t>
      </w:r>
    </w:p>
    <w:p w14:paraId="128C8C81">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建立基于CTA+人工智能算法重建的2型糖尿病脑微血管病变早期评估模型，完善标准化的扫描、重建及定量评估方案，为临床早期评估糖尿病脑微血管损伤提供技术支撑与实践依据。</w:t>
      </w:r>
    </w:p>
    <w:p w14:paraId="34F6F499">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01127338">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建立标准化CT影像数据库，收集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300例病例：</w:t>
      </w:r>
    </w:p>
    <w:p w14:paraId="3BDAD275">
      <w:pPr>
        <w:keepNext w:val="0"/>
        <w:keepLines w:val="0"/>
        <w:pageBreakBefore w:val="0"/>
        <w:numPr>
          <w:ilvl w:val="0"/>
          <w:numId w:val="0"/>
        </w:numPr>
        <w:tabs>
          <w:tab w:val="left" w:pos="284"/>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t>所有数据有相关临床及影像资料；</w:t>
      </w:r>
    </w:p>
    <w:p w14:paraId="54C8A54D">
      <w:pPr>
        <w:keepNext w:val="0"/>
        <w:keepLines w:val="0"/>
        <w:pageBreakBefore w:val="0"/>
        <w:numPr>
          <w:ilvl w:val="0"/>
          <w:numId w:val="0"/>
        </w:numPr>
        <w:tabs>
          <w:tab w:val="left" w:pos="567"/>
          <w:tab w:val="left" w:pos="709"/>
          <w:tab w:val="left" w:pos="840"/>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影像数据需有对应 dicom数据。</w:t>
      </w:r>
    </w:p>
    <w:p w14:paraId="307A5543">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评估人工智能重建算法对2型糖尿病豆纹动脉CTA可视化的优化效能，并生成</w:t>
      </w:r>
      <w:r>
        <w:rPr>
          <w:rFonts w:hint="eastAsia" w:ascii="仿宋_GB2312" w:hAnsi="仿宋_GB2312" w:eastAsia="仿宋_GB2312" w:cs="仿宋_GB2312"/>
          <w:sz w:val="32"/>
          <w:szCs w:val="32"/>
          <w:lang w:val="en-US" w:eastAsia="zh-CN"/>
        </w:rPr>
        <w:t>≥1篇</w:t>
      </w:r>
      <w:r>
        <w:rPr>
          <w:rFonts w:hint="eastAsia" w:ascii="仿宋_GB2312" w:hAnsi="仿宋_GB2312" w:eastAsia="仿宋_GB2312" w:cs="仿宋_GB2312"/>
          <w:sz w:val="32"/>
          <w:szCs w:val="32"/>
        </w:rPr>
        <w:t>相关临床应用价值评估报告</w:t>
      </w:r>
      <w:r>
        <w:rPr>
          <w:rFonts w:hint="eastAsia" w:ascii="仿宋_GB2312" w:hAnsi="仿宋_GB2312" w:eastAsia="仿宋_GB2312" w:cs="仿宋_GB2312"/>
          <w:sz w:val="32"/>
          <w:szCs w:val="32"/>
          <w:lang w:eastAsia="zh-CN"/>
        </w:rPr>
        <w:t>；</w:t>
      </w:r>
    </w:p>
    <w:p w14:paraId="6025C075">
      <w:pPr>
        <w:keepNext w:val="0"/>
        <w:keepLines w:val="0"/>
        <w:pageBreakBefore w:val="0"/>
        <w:numPr>
          <w:ilvl w:val="0"/>
          <w:numId w:val="0"/>
        </w:numPr>
        <w:tabs>
          <w:tab w:val="left" w:pos="567"/>
          <w:tab w:val="left" w:pos="709"/>
          <w:tab w:val="left" w:pos="840"/>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rPr>
        <w:t>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p>
    <w:p w14:paraId="23552F88">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160D44E2">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不超过10万元</w:t>
      </w:r>
    </w:p>
    <w:p w14:paraId="161848BA">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p>
    <w:p w14:paraId="3CAACB02">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90356B7">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A6847D2">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16" w:name="_Toc226466358"/>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4011 </w:t>
      </w:r>
      <w:r>
        <w:rPr>
          <w:rFonts w:hint="eastAsia" w:ascii="方正小标宋简体" w:hAnsi="方正小标宋简体" w:eastAsia="方正小标宋简体" w:cs="方正小标宋简体"/>
          <w:bCs/>
          <w:sz w:val="44"/>
          <w:szCs w:val="44"/>
          <w:lang w:eastAsia="zh-CN"/>
        </w:rPr>
        <w:t>面向糖尿病足精准诊疗的多模态影像应用方案构建及人工智能辅助评估模型研究</w:t>
      </w:r>
      <w:bookmarkEnd w:id="16"/>
    </w:p>
    <w:p w14:paraId="31174444">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6D983241">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计算机断层扫描成像</w:t>
      </w:r>
    </w:p>
    <w:p w14:paraId="02CCE832">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p>
    <w:p w14:paraId="09F46DF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基于多模态影像评估框架，整合CTA、MR及相关功能成像等检查手段，围绕糖尿病足病变识别、灌注状态评估、组织损伤判定及结局风险分层，建立面向精准诊断与疗效评估的多模态影像应用方案</w:t>
      </w:r>
      <w:r>
        <w:rPr>
          <w:rFonts w:hint="eastAsia" w:ascii="仿宋_GB2312" w:hAnsi="仿宋_GB2312" w:eastAsia="仿宋_GB2312" w:cs="仿宋_GB2312"/>
          <w:sz w:val="32"/>
          <w:szCs w:val="32"/>
          <w:lang w:eastAsia="zh-CN"/>
        </w:rPr>
        <w:t>；</w:t>
      </w:r>
    </w:p>
    <w:p w14:paraId="012AEE6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引入人工智能辅助分析方法，对糖尿病足关键影像区域进行自动识别、分割与定量特征提取，融合多模态影像及临床信息，构建面向创面愈合与保肢结局的精准评估模型，提升影像诊断的客观性、一致性和临床应用价值。</w:t>
      </w:r>
    </w:p>
    <w:p w14:paraId="6709B2B0">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7A18F87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100例糖尿病足多模态影像及临床随访病例资料；</w:t>
      </w:r>
    </w:p>
    <w:p w14:paraId="2B0196B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建立糖尿病足多模态影像评估技术流程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1套；</w:t>
      </w:r>
    </w:p>
    <w:p w14:paraId="76FF08F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形成糖尿病足关键影像区域自动识别与定量分析方法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1套；</w:t>
      </w:r>
    </w:p>
    <w:p w14:paraId="310912C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发表中文核心或</w:t>
      </w:r>
      <w:r>
        <w:rPr>
          <w:rFonts w:hint="eastAsia" w:ascii="仿宋_GB2312" w:hAnsi="仿宋_GB2312" w:eastAsia="仿宋_GB2312" w:cs="仿宋_GB2312"/>
          <w:sz w:val="32"/>
          <w:szCs w:val="32"/>
          <w:lang w:val="en-US" w:eastAsia="zh-CN"/>
        </w:rPr>
        <w:t>SCI</w:t>
      </w:r>
      <w:r>
        <w:rPr>
          <w:rFonts w:hint="eastAsia" w:ascii="仿宋_GB2312" w:hAnsi="仿宋_GB2312" w:eastAsia="仿宋_GB2312" w:cs="仿宋_GB2312"/>
          <w:sz w:val="32"/>
          <w:szCs w:val="32"/>
        </w:rPr>
        <w:t>文章</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w:t>
      </w:r>
      <w:r>
        <w:rPr>
          <w:rFonts w:hint="eastAsia" w:ascii="仿宋_GB2312" w:hAnsi="仿宋_GB2312" w:eastAsia="仿宋_GB2312" w:cs="仿宋_GB2312"/>
          <w:sz w:val="32"/>
          <w:szCs w:val="32"/>
          <w:lang w:eastAsia="zh-CN"/>
        </w:rPr>
        <w:t>；</w:t>
      </w:r>
    </w:p>
    <w:p w14:paraId="442224C0">
      <w:pPr>
        <w:keepNext w:val="0"/>
        <w:keepLines w:val="0"/>
        <w:pageBreakBefore w:val="0"/>
        <w:numPr>
          <w:ilvl w:val="3"/>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0"/>
          <w:sz w:val="32"/>
          <w:szCs w:val="32"/>
        </w:rPr>
        <w:t>项目执行期间参加年度成果交流会</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次</w:t>
      </w:r>
      <w:r>
        <w:rPr>
          <w:rFonts w:hint="eastAsia" w:ascii="仿宋_GB2312" w:hAnsi="仿宋_GB2312" w:eastAsia="仿宋_GB2312" w:cs="仿宋_GB2312"/>
          <w:sz w:val="32"/>
          <w:szCs w:val="32"/>
        </w:rPr>
        <w:t>。</w:t>
      </w:r>
    </w:p>
    <w:p w14:paraId="6CE8A606">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343630F0">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不超过20万元</w:t>
      </w:r>
    </w:p>
    <w:p w14:paraId="1EBACBCB">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FE7534A">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17" w:name="_Toc226466359"/>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4012 </w:t>
      </w:r>
      <w:r>
        <w:rPr>
          <w:rFonts w:hint="eastAsia" w:ascii="方正小标宋简体" w:hAnsi="方正小标宋简体" w:eastAsia="方正小标宋简体" w:cs="方正小标宋简体"/>
          <w:bCs/>
          <w:sz w:val="44"/>
          <w:szCs w:val="44"/>
          <w:lang w:eastAsia="zh-CN"/>
        </w:rPr>
        <w:t>人工智能重建算法的多部位CT影像优化与临床应用价值评估</w:t>
      </w:r>
      <w:bookmarkEnd w:id="17"/>
    </w:p>
    <w:p w14:paraId="2EF20026">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78731732">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bookmarkStart w:id="18" w:name="heading_0"/>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bookmarkEnd w:id="18"/>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计算机断层扫描成像</w:t>
      </w:r>
    </w:p>
    <w:p w14:paraId="724DC6C8">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bookmarkStart w:id="19" w:name="heading_1"/>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rPr>
        <w:t>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bookmarkEnd w:id="19"/>
    </w:p>
    <w:p w14:paraId="2CCFDCF8">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整合人工智能重建算法在头颈部、胸腹部CT影像中的应用，构建多病种CT数据库，评估其图像优化与诊断价值</w:t>
      </w:r>
      <w:r>
        <w:rPr>
          <w:rFonts w:hint="eastAsia" w:ascii="仿宋_GB2312" w:hAnsi="仿宋_GB2312" w:eastAsia="仿宋_GB2312" w:cs="仿宋_GB2312"/>
          <w:sz w:val="32"/>
          <w:szCs w:val="32"/>
          <w:lang w:eastAsia="zh-CN"/>
        </w:rPr>
        <w:t>；</w:t>
      </w:r>
    </w:p>
    <w:p w14:paraId="3D5CE8BD">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头颈部应用：以颅脑CT平扫为对照，评估人工智能重建算法对头颈CTA血管及脑实质病灶的显示优化效果与临床价值</w:t>
      </w:r>
      <w:r>
        <w:rPr>
          <w:rFonts w:hint="eastAsia" w:ascii="仿宋_GB2312" w:hAnsi="仿宋_GB2312" w:eastAsia="仿宋_GB2312" w:cs="仿宋_GB2312"/>
          <w:sz w:val="32"/>
          <w:szCs w:val="32"/>
          <w:lang w:eastAsia="zh-CN"/>
        </w:rPr>
        <w:t>；</w:t>
      </w:r>
    </w:p>
    <w:p w14:paraId="18D17B14">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胸腹部应用：建立基于人工智能重建算法的下胸腹部肿瘤CT影像标准化流程，优化病灶分割与重建适配性并构建智能诊断模型</w:t>
      </w:r>
      <w:r>
        <w:rPr>
          <w:rFonts w:hint="eastAsia" w:ascii="仿宋_GB2312" w:hAnsi="仿宋_GB2312" w:eastAsia="仿宋_GB2312" w:cs="仿宋_GB2312"/>
          <w:sz w:val="32"/>
          <w:szCs w:val="32"/>
          <w:lang w:eastAsia="zh-CN"/>
        </w:rPr>
        <w:t>；</w:t>
      </w:r>
    </w:p>
    <w:p w14:paraId="74D9AD05">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共病研究：探讨人工智能重建算法对颅内-颅外血管病变的显示效能，分析脑-体肿瘤共病的影像特征关联性，系统评估该算法在一体化影像评估中的应用价值。</w:t>
      </w:r>
    </w:p>
    <w:p w14:paraId="5DCF8FCD">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bookmarkStart w:id="20" w:name="heading_2"/>
      <w:r>
        <w:rPr>
          <w:rFonts w:hint="eastAsia" w:ascii="仿宋_GB2312" w:hAnsi="仿宋_GB2312" w:eastAsia="仿宋_GB2312" w:cs="仿宋_GB2312"/>
          <w:b/>
          <w:bCs/>
          <w:kern w:val="2"/>
          <w:sz w:val="32"/>
          <w:szCs w:val="32"/>
          <w:lang w:val="en-US" w:eastAsia="zh-CN" w:bidi="ar-SA"/>
        </w:rPr>
        <w:t>三、</w:t>
      </w:r>
      <w:r>
        <w:rPr>
          <w:rFonts w:hint="eastAsia" w:ascii="仿宋_GB2312" w:hAnsi="仿宋_GB2312" w:eastAsia="仿宋_GB2312" w:cs="仿宋_GB2312"/>
          <w:b/>
          <w:bCs/>
          <w:sz w:val="32"/>
          <w:szCs w:val="32"/>
        </w:rPr>
        <w:t>项目考核指标（项目执行期内）</w:t>
      </w:r>
      <w:bookmarkEnd w:id="20"/>
    </w:p>
    <w:p w14:paraId="7ECC9664">
      <w:pPr>
        <w:keepNext w:val="0"/>
        <w:keepLines w:val="0"/>
        <w:pageBreakBefore w:val="0"/>
        <w:numPr>
          <w:ilvl w:val="3"/>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1.建立≥500例标准化CT影像数据库（头颈≥300例、胸腹部肿瘤≥200例）；</w:t>
      </w:r>
    </w:p>
    <w:p w14:paraId="09B28240">
      <w:pPr>
        <w:keepNext w:val="0"/>
        <w:keepLines w:val="0"/>
        <w:pageBreakBefore w:val="0"/>
        <w:numPr>
          <w:ilvl w:val="3"/>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2.完成全部病例目标部位标准化后处理与标注；</w:t>
      </w:r>
    </w:p>
    <w:p w14:paraId="203B97E9">
      <w:pPr>
        <w:keepNext w:val="0"/>
        <w:keepLines w:val="0"/>
        <w:pageBreakBefore w:val="0"/>
        <w:numPr>
          <w:ilvl w:val="3"/>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3.评估人工智能重建算法多部位CT影像优化效能并生成</w:t>
      </w:r>
      <w:r>
        <w:rPr>
          <w:rFonts w:hint="eastAsia" w:ascii="仿宋_GB2312" w:hAnsi="仿宋_GB2312" w:eastAsia="仿宋_GB2312" w:cs="仿宋_GB2312"/>
          <w:sz w:val="32"/>
          <w:szCs w:val="32"/>
          <w:lang w:val="en-US" w:eastAsia="zh-CN"/>
        </w:rPr>
        <w:t>≥1篇</w:t>
      </w:r>
      <w:r>
        <w:rPr>
          <w:rFonts w:hint="eastAsia" w:ascii="仿宋_GB2312" w:hAnsi="仿宋_GB2312" w:eastAsia="仿宋_GB2312" w:cs="仿宋_GB2312"/>
          <w:sz w:val="32"/>
          <w:szCs w:val="32"/>
        </w:rPr>
        <w:t>相关临床应用价值评估报告</w:t>
      </w:r>
      <w:r>
        <w:rPr>
          <w:rFonts w:hint="eastAsia" w:ascii="仿宋_GB2312" w:hAnsi="仿宋_GB2312" w:eastAsia="仿宋_GB2312" w:cs="仿宋_GB2312"/>
          <w:sz w:val="32"/>
          <w:szCs w:val="32"/>
          <w:lang w:eastAsia="zh-CN"/>
        </w:rPr>
        <w:t>；</w:t>
      </w:r>
    </w:p>
    <w:p w14:paraId="293F8423">
      <w:pPr>
        <w:keepNext w:val="0"/>
        <w:keepLines w:val="0"/>
        <w:pageBreakBefore w:val="0"/>
        <w:numPr>
          <w:ilvl w:val="3"/>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r>
        <w:rPr>
          <w:rFonts w:hint="eastAsia" w:ascii="仿宋_GB2312" w:hAnsi="仿宋_GB2312" w:eastAsia="仿宋_GB2312" w:cs="仿宋_GB2312"/>
          <w:sz w:val="32"/>
          <w:szCs w:val="32"/>
          <w:lang w:eastAsia="zh-CN"/>
        </w:rPr>
        <w:t>。</w:t>
      </w:r>
    </w:p>
    <w:p w14:paraId="04BCF8ED">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bookmarkStart w:id="21" w:name="heading_3"/>
      <w:r>
        <w:rPr>
          <w:rFonts w:hint="eastAsia" w:ascii="仿宋_GB2312" w:hAnsi="仿宋_GB2312" w:eastAsia="仿宋_GB2312" w:cs="仿宋_GB2312"/>
          <w:b/>
          <w:bCs/>
          <w:sz w:val="32"/>
          <w:szCs w:val="32"/>
        </w:rPr>
        <w:t>四、项目实施年限</w:t>
      </w:r>
      <w:bookmarkEnd w:id="21"/>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60A65724">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bookmarkStart w:id="22" w:name="heading_4"/>
      <w:r>
        <w:rPr>
          <w:rFonts w:hint="eastAsia" w:ascii="仿宋_GB2312" w:hAnsi="仿宋_GB2312" w:eastAsia="仿宋_GB2312" w:cs="仿宋_GB2312"/>
          <w:b/>
          <w:bCs/>
          <w:sz w:val="32"/>
          <w:szCs w:val="32"/>
        </w:rPr>
        <w:t>五、资助金额</w:t>
      </w:r>
      <w:bookmarkEnd w:id="22"/>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不超过10万元</w:t>
      </w:r>
    </w:p>
    <w:p w14:paraId="6869DF03">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789E0B9">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FADE640">
      <w:pPr>
        <w:keepNext w:val="0"/>
        <w:keepLines w:val="0"/>
        <w:pageBreakBefore w:val="0"/>
        <w:kinsoku/>
        <w:wordWrap/>
        <w:overflowPunct/>
        <w:topLinePunct w:val="0"/>
        <w:autoSpaceDE/>
        <w:autoSpaceDN/>
        <w:bidi w:val="0"/>
        <w:adjustRightInd w:val="0"/>
        <w:snapToGrid w:val="0"/>
        <w:spacing w:line="560" w:lineRule="exact"/>
        <w:jc w:val="left"/>
        <w:textAlignment w:val="auto"/>
        <w:outlineLvl w:val="0"/>
        <w:rPr>
          <w:rFonts w:hint="eastAsia" w:ascii="仿宋_GB2312" w:hAnsi="仿宋_GB2312" w:eastAsia="仿宋_GB2312" w:cs="仿宋_GB2312"/>
          <w:bCs/>
          <w:sz w:val="32"/>
          <w:szCs w:val="32"/>
        </w:rPr>
      </w:pPr>
      <w:bookmarkStart w:id="23" w:name="_Toc226466360"/>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多中心项目</w:t>
      </w:r>
      <w:r>
        <w:rPr>
          <w:rFonts w:hint="eastAsia" w:ascii="仿宋_GB2312" w:hAnsi="仿宋_GB2312" w:eastAsia="仿宋_GB2312" w:cs="仿宋_GB2312"/>
          <w:bCs/>
          <w:sz w:val="32"/>
          <w:szCs w:val="32"/>
        </w:rPr>
        <w:t>】</w:t>
      </w:r>
      <w:bookmarkEnd w:id="23"/>
    </w:p>
    <w:p w14:paraId="6D3ADF37">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bookmarkStart w:id="24" w:name="_Toc226466361"/>
      <w:r>
        <w:rPr>
          <w:rFonts w:hint="eastAsia" w:ascii="方正小标宋简体" w:hAnsi="方正小标宋简体" w:eastAsia="方正小标宋简体" w:cs="方正小标宋简体"/>
          <w:bCs/>
          <w:sz w:val="44"/>
          <w:szCs w:val="44"/>
          <w:lang w:eastAsia="zh-CN"/>
        </w:rPr>
        <w:t>面20260</w:t>
      </w:r>
      <w:r>
        <w:rPr>
          <w:rFonts w:hint="eastAsia" w:ascii="方正小标宋简体" w:hAnsi="方正小标宋简体" w:eastAsia="方正小标宋简体" w:cs="方正小标宋简体"/>
          <w:bCs/>
          <w:sz w:val="44"/>
          <w:szCs w:val="44"/>
          <w:lang w:val="en-US" w:eastAsia="zh-CN"/>
        </w:rPr>
        <w:t xml:space="preserve">4013 </w:t>
      </w:r>
      <w:r>
        <w:rPr>
          <w:rFonts w:hint="eastAsia" w:ascii="方正小标宋简体" w:hAnsi="方正小标宋简体" w:eastAsia="方正小标宋简体" w:cs="方正小标宋简体"/>
          <w:bCs/>
          <w:sz w:val="44"/>
          <w:szCs w:val="44"/>
          <w:lang w:eastAsia="zh-CN"/>
        </w:rPr>
        <w:t>基于急性阑尾病变验证可嵌入临床流程的AI分诊系统的研究</w:t>
      </w:r>
      <w:bookmarkEnd w:id="24"/>
    </w:p>
    <w:p w14:paraId="46F25601">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sz w:val="44"/>
          <w:szCs w:val="44"/>
          <w:lang w:eastAsia="zh-CN"/>
        </w:rPr>
      </w:pPr>
    </w:p>
    <w:p w14:paraId="06923306">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计算机断层扫描成像</w:t>
      </w:r>
    </w:p>
    <w:p w14:paraId="31BC3257">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420" w:leftChars="0" w:hanging="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rPr>
        <w:t>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p>
    <w:p w14:paraId="1BE4002F">
      <w:pPr>
        <w:keepNext w:val="0"/>
        <w:keepLines w:val="0"/>
        <w:pageBreakBefore w:val="0"/>
        <w:numPr>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以多中心形式展开临床研究，基于CT系统以急性阑尾病变为切入点，构建并验证一套可嵌入临床流程的AI分诊系统，实现从“影像识别”到“流程优化”的闭环管理</w:t>
      </w:r>
      <w:r>
        <w:rPr>
          <w:rFonts w:hint="eastAsia" w:ascii="仿宋_GB2312" w:hAnsi="仿宋_GB2312" w:eastAsia="仿宋_GB2312" w:cs="仿宋_GB2312"/>
          <w:sz w:val="32"/>
          <w:szCs w:val="32"/>
          <w:lang w:eastAsia="zh-CN"/>
        </w:rPr>
        <w:t>；</w:t>
      </w:r>
    </w:p>
    <w:p w14:paraId="14E7D6FB">
      <w:pPr>
        <w:keepNext w:val="0"/>
        <w:keepLines w:val="0"/>
        <w:pageBreakBefore w:val="0"/>
        <w:numPr>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构建“定位分割-征象识别-分型诊断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风险分级”的连续分析链，实现从影像分析到风险评估的端到端自动化，以提升急诊分诊效率</w:t>
      </w:r>
      <w:r>
        <w:rPr>
          <w:rFonts w:hint="eastAsia" w:ascii="仿宋_GB2312" w:hAnsi="仿宋_GB2312" w:eastAsia="仿宋_GB2312" w:cs="仿宋_GB2312"/>
          <w:sz w:val="32"/>
          <w:szCs w:val="32"/>
          <w:lang w:eastAsia="zh-CN"/>
        </w:rPr>
        <w:t>；</w:t>
      </w:r>
    </w:p>
    <w:p w14:paraId="1D2F0EBD">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建立回顾性与前瞻性相结合的结构化影像数据库，开发多任务学习框架开发分诊模型，并最终在合作医院急诊环境下进行系统部署与临床验证。</w:t>
      </w:r>
    </w:p>
    <w:p w14:paraId="31551AF0">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28F73E75">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参与该多中心研究的医院共同收集符合要求的阑尾病变病例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800例：</w:t>
      </w:r>
    </w:p>
    <w:p w14:paraId="3023DD1B">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126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所有数据有相关临床及影像资料；</w:t>
      </w:r>
    </w:p>
    <w:p w14:paraId="6AE61D0A">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left="1260" w:leftChars="0" w:hanging="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影像数据需有对应dicom数据。</w:t>
      </w:r>
    </w:p>
    <w:p w14:paraId="18F4E65F">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训练具备高准确率智能分诊模型（分诊准确率&gt;85%），并完成软件原型开发。形成一套标准化临床实施路径，优化急诊腹痛诊疗流程，为AI在急腹症领域的临床应用提供示范。</w:t>
      </w:r>
    </w:p>
    <w:p w14:paraId="063686FC">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p>
    <w:p w14:paraId="74E5150F">
      <w:pPr>
        <w:keepNext w:val="0"/>
        <w:keepLines w:val="0"/>
        <w:pageBreakBefore w:val="0"/>
        <w:numPr>
          <w:ilvl w:val="0"/>
          <w:numId w:val="0"/>
        </w:numPr>
        <w:tabs>
          <w:tab w:val="left" w:pos="567"/>
          <w:tab w:val="left" w:pos="709"/>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kern w:val="0"/>
          <w:sz w:val="32"/>
          <w:szCs w:val="32"/>
        </w:rPr>
        <w:t>项目执行期间参加年度成果交流会</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次</w:t>
      </w:r>
      <w:r>
        <w:rPr>
          <w:rFonts w:hint="eastAsia" w:ascii="仿宋_GB2312" w:hAnsi="仿宋_GB2312" w:eastAsia="仿宋_GB2312" w:cs="仿宋_GB2312"/>
          <w:sz w:val="32"/>
          <w:szCs w:val="32"/>
        </w:rPr>
        <w:t>。</w:t>
      </w:r>
    </w:p>
    <w:p w14:paraId="1365E467">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b w:val="0"/>
          <w:bCs w:val="0"/>
          <w:sz w:val="32"/>
          <w:szCs w:val="32"/>
        </w:rPr>
        <w:t>2年</w:t>
      </w:r>
    </w:p>
    <w:p w14:paraId="46F7F1F3">
      <w:pPr>
        <w:keepNext w:val="0"/>
        <w:keepLines w:val="0"/>
        <w:pageBreakBefore w:val="0"/>
        <w:tabs>
          <w:tab w:val="left" w:pos="567"/>
          <w:tab w:val="left" w:pos="709"/>
        </w:tabs>
        <w:kinsoku/>
        <w:wordWrap/>
        <w:overflowPunct/>
        <w:topLinePunct w:val="0"/>
        <w:autoSpaceDE/>
        <w:autoSpaceDN/>
        <w:bidi w:val="0"/>
        <w:adjustRightInd w:val="0"/>
        <w:snapToGrid w:val="0"/>
        <w:spacing w:line="560" w:lineRule="exact"/>
        <w:ind w:left="420" w:hanging="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不超过20万元（仅为牵头单位经费，不包含分中心单位）</w:t>
      </w:r>
    </w:p>
    <w:p w14:paraId="3109C966">
      <w:pPr>
        <w:widowControl/>
        <w:jc w:val="left"/>
        <w:rPr>
          <w:rFonts w:ascii="等线" w:hAnsi="等线" w:eastAsia="仿宋" w:cs="Times New Roman"/>
          <w:sz w:val="32"/>
        </w:rPr>
      </w:pPr>
    </w:p>
    <w:p w14:paraId="6AAD3DF1">
      <w:pPr>
        <w:rPr>
          <w:rFonts w:hint="eastAsia" w:ascii="Calibri" w:hAnsi="Calibri" w:eastAsia="仿宋" w:cs="Times New Roman"/>
          <w:sz w:val="32"/>
        </w:rPr>
      </w:pPr>
    </w:p>
    <w:p w14:paraId="5C21634F"/>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A6C1E1C-3CC6-4346-B160-0DDB9E472A59}"/>
  </w:font>
  <w:font w:name="等线">
    <w:panose1 w:val="02010600030101010101"/>
    <w:charset w:val="86"/>
    <w:family w:val="auto"/>
    <w:pitch w:val="default"/>
    <w:sig w:usb0="A00002BF" w:usb1="38CF7CFA" w:usb2="00000016" w:usb3="00000000" w:csb0="0004000F" w:csb1="00000000"/>
    <w:embedRegular r:id="rId2" w:fontKey="{4835AF91-2D84-454B-890A-5F1AEA01DBF7}"/>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3" w:fontKey="{4E10FE91-7A5D-48E5-8CB0-4F6763462F55}"/>
  </w:font>
  <w:font w:name="仿宋">
    <w:panose1 w:val="02010609060101010101"/>
    <w:charset w:val="86"/>
    <w:family w:val="modern"/>
    <w:pitch w:val="default"/>
    <w:sig w:usb0="800002BF" w:usb1="38CF7CFA" w:usb2="00000016" w:usb3="00000000" w:csb0="00040001" w:csb1="00000000"/>
    <w:embedRegular r:id="rId4" w:fontKey="{7649BB50-C922-495F-8650-0E506CCA4DB3}"/>
  </w:font>
  <w:font w:name="MS Gothic">
    <w:panose1 w:val="020B0609070205080204"/>
    <w:charset w:val="80"/>
    <w:family w:val="modern"/>
    <w:pitch w:val="default"/>
    <w:sig w:usb0="E00002FF" w:usb1="6AC7FDFB" w:usb2="08000012" w:usb3="00000000" w:csb0="4002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03554955-EFA7-498A-8D4E-AAF6A82560CA}"/>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A8A22">
    <w:pPr>
      <w:pStyle w:val="4"/>
      <w:jc w:val="right"/>
    </w:pPr>
  </w:p>
  <w:p w14:paraId="0515545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DBF8C">
    <w:pPr>
      <w:pStyle w:val="4"/>
      <w:jc w:val="right"/>
    </w:pPr>
  </w:p>
  <w:p w14:paraId="7B575D79">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91077">
    <w:pPr>
      <w:pStyle w:val="4"/>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0511"/>
                            <w:docPartObj>
                              <w:docPartGallery w:val="autotext"/>
                            </w:docPartObj>
                          </w:sdtPr>
                          <w:sdtContent>
                            <w:p w14:paraId="13812070">
                              <w:pPr>
                                <w:pStyle w:val="4"/>
                                <w:jc w:val="right"/>
                              </w:pPr>
                              <w:r>
                                <w:fldChar w:fldCharType="begin"/>
                              </w:r>
                              <w:r>
                                <w:instrText xml:space="preserve">PAGE   \* MERGEFORMAT</w:instrText>
                              </w:r>
                              <w:r>
                                <w:fldChar w:fldCharType="separate"/>
                              </w:r>
                              <w:r>
                                <w:rPr>
                                  <w:lang w:val="zh-CN"/>
                                </w:rPr>
                                <w:t>2</w:t>
                              </w:r>
                              <w:r>
                                <w:fldChar w:fldCharType="end"/>
                              </w:r>
                            </w:p>
                          </w:sdtContent>
                        </w:sdt>
                        <w:p w14:paraId="1DD7FA5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80511"/>
                      <w:docPartObj>
                        <w:docPartGallery w:val="autotext"/>
                      </w:docPartObj>
                    </w:sdtPr>
                    <w:sdtContent>
                      <w:p w14:paraId="13812070">
                        <w:pPr>
                          <w:pStyle w:val="4"/>
                          <w:jc w:val="right"/>
                        </w:pPr>
                        <w:r>
                          <w:fldChar w:fldCharType="begin"/>
                        </w:r>
                        <w:r>
                          <w:instrText xml:space="preserve">PAGE   \* MERGEFORMAT</w:instrText>
                        </w:r>
                        <w:r>
                          <w:fldChar w:fldCharType="separate"/>
                        </w:r>
                        <w:r>
                          <w:rPr>
                            <w:lang w:val="zh-CN"/>
                          </w:rPr>
                          <w:t>2</w:t>
                        </w:r>
                        <w:r>
                          <w:fldChar w:fldCharType="end"/>
                        </w:r>
                      </w:p>
                    </w:sdtContent>
                  </w:sdt>
                  <w:p w14:paraId="1DD7FA5D"/>
                </w:txbxContent>
              </v:textbox>
            </v:shape>
          </w:pict>
        </mc:Fallback>
      </mc:AlternateContent>
    </w:r>
  </w:p>
  <w:p w14:paraId="61FA744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9C2"/>
    <w:rsid w:val="000C1903"/>
    <w:rsid w:val="005F39C2"/>
    <w:rsid w:val="00811C17"/>
    <w:rsid w:val="00B53C9B"/>
    <w:rsid w:val="34FE31C6"/>
    <w:rsid w:val="6C703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widowControl/>
      <w:spacing w:after="100" w:line="259" w:lineRule="auto"/>
      <w:jc w:val="left"/>
    </w:pPr>
    <w:rPr>
      <w:rFonts w:cs="Times New Roman"/>
      <w:kern w:val="0"/>
      <w:sz w:val="22"/>
    </w:rPr>
  </w:style>
  <w:style w:type="paragraph" w:styleId="7">
    <w:name w:val="toc 2"/>
    <w:basedOn w:val="1"/>
    <w:next w:val="1"/>
    <w:autoRedefine/>
    <w:unhideWhenUsed/>
    <w:qFormat/>
    <w:uiPriority w:val="39"/>
    <w:pPr>
      <w:widowControl/>
      <w:spacing w:after="100" w:line="259" w:lineRule="auto"/>
      <w:ind w:left="220"/>
      <w:jc w:val="left"/>
    </w:pPr>
    <w:rPr>
      <w:rFonts w:cs="Times New Roman"/>
      <w:kern w:val="0"/>
      <w:sz w:val="22"/>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paragraph" w:styleId="11">
    <w:name w:val="List Paragraph"/>
    <w:basedOn w:val="1"/>
    <w:qFormat/>
    <w:uiPriority w:val="34"/>
    <w:pPr>
      <w:ind w:firstLine="420" w:firstLineChars="200"/>
    </w:pPr>
  </w:style>
  <w:style w:type="character" w:customStyle="1" w:styleId="12">
    <w:name w:val="标题 1 字符"/>
    <w:basedOn w:val="9"/>
    <w:link w:val="2"/>
    <w:qFormat/>
    <w:uiPriority w:val="9"/>
    <w:rPr>
      <w:b/>
      <w:bCs/>
      <w:kern w:val="44"/>
      <w:sz w:val="44"/>
      <w:szCs w:val="44"/>
    </w:rPr>
  </w:style>
  <w:style w:type="paragraph" w:customStyle="1" w:styleId="1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4">
    <w:name w:val="页眉 字符"/>
    <w:basedOn w:val="9"/>
    <w:link w:val="5"/>
    <w:qFormat/>
    <w:uiPriority w:val="99"/>
    <w:rPr>
      <w:sz w:val="18"/>
      <w:szCs w:val="18"/>
    </w:rPr>
  </w:style>
  <w:style w:type="character" w:customStyle="1" w:styleId="15">
    <w:name w:val="页脚 字符"/>
    <w:basedOn w:val="9"/>
    <w:link w:val="4"/>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7338C2-2A06-46CE-B7E0-7D1FC2AF192A}">
  <ds:schemaRefs/>
</ds:datastoreItem>
</file>

<file path=customXml/itemProps3.xml><?xml version="1.0" encoding="utf-8"?>
<ds:datastoreItem xmlns:ds="http://schemas.openxmlformats.org/officeDocument/2006/customXml" ds:itemID="{edd0bbfc-2e3b-40f5-9778-dbc870c68247}">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7632</Words>
  <Characters>8368</Characters>
  <Lines>70</Lines>
  <Paragraphs>19</Paragraphs>
  <TotalTime>121</TotalTime>
  <ScaleCrop>false</ScaleCrop>
  <LinksUpToDate>false</LinksUpToDate>
  <CharactersWithSpaces>8592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2026-04-07T06:45:00Z</dcterms:created>
  <dc:creator>jiajun</dc:creator>
  <cp:lastModifiedBy>Elfinsword、</cp:lastModifiedBy>
  <dcterms:modified xsi:type="dcterms:W3CDTF">2026-04-07T11:20:24Z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eyJoZGlkIjoiNDQzMzQwMmVhMDMxNmMxOTI4ZWZjYWVhYmU0ZjQyNDgiLCJ1c2VySWQiOiIzNTE1MjMxMzUifQ==</vt:lpwstr>
  </property>
  <property fmtid="{D5CDD505-2E9C-101B-9397-08002B2CF9AE}" pid="3" name="KSOProductBuildVer">
    <vt:lpwstr>2052-12.1.0.25225</vt:lpwstr>
  </property>
  <property fmtid="{D5CDD505-2E9C-101B-9397-08002B2CF9AE}" pid="4" name="ICV">
    <vt:lpwstr>96D875B8A0FF4860A7C9730DC65A35D5_13</vt:lpwstr>
  </property>
</Properties>
</file>