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9605">
      <w:pPr>
        <w:pStyle w:val="2"/>
        <w:keepNext w:val="0"/>
        <w:keepLines w:val="0"/>
        <w:pageBreakBefore w:val="0"/>
        <w:wordWrap/>
        <w:overflowPunct/>
        <w:topLinePunct w:val="0"/>
        <w:bidi w:val="0"/>
        <w:spacing w:line="560" w:lineRule="exact"/>
        <w:ind w:right="19"/>
        <w:jc w:val="center"/>
        <w:rPr>
          <w:rFonts w:hint="eastAsia" w:ascii="黑体" w:hAnsi="黑体" w:eastAsia="黑体" w:cs="黑体"/>
          <w:b/>
          <w:bCs/>
          <w:spacing w:val="8"/>
          <w:sz w:val="32"/>
          <w:szCs w:val="32"/>
          <w:highlight w:val="none"/>
          <w:lang w:eastAsia="zh-CN"/>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12001 </w:t>
      </w:r>
      <w:r>
        <w:rPr>
          <w:rFonts w:hint="eastAsia" w:ascii="黑体" w:hAnsi="黑体" w:eastAsia="黑体" w:cs="黑体"/>
          <w:b/>
          <w:bCs/>
          <w:spacing w:val="8"/>
          <w:sz w:val="32"/>
          <w:szCs w:val="32"/>
          <w:highlight w:val="none"/>
          <w:lang w:eastAsia="zh-CN"/>
        </w:rPr>
        <w:t>心血管疾病患者心力衰竭与多重共病中sST2和IGFBP4的相关性及其</w:t>
      </w:r>
      <w:r>
        <w:rPr>
          <w:rFonts w:hint="eastAsia" w:ascii="黑体" w:hAnsi="黑体" w:eastAsia="黑体" w:cs="黑体"/>
          <w:b/>
          <w:bCs/>
          <w:spacing w:val="8"/>
          <w:sz w:val="32"/>
          <w:szCs w:val="32"/>
          <w:highlight w:val="none"/>
          <w:lang w:val="en-US" w:eastAsia="zh-CN"/>
        </w:rPr>
        <w:t>诊断</w:t>
      </w:r>
      <w:r>
        <w:rPr>
          <w:rFonts w:hint="eastAsia" w:ascii="黑体" w:hAnsi="黑体" w:eastAsia="黑体" w:cs="黑体"/>
          <w:b/>
          <w:bCs/>
          <w:spacing w:val="8"/>
          <w:sz w:val="32"/>
          <w:szCs w:val="32"/>
          <w:highlight w:val="none"/>
          <w:lang w:eastAsia="zh-CN"/>
        </w:rPr>
        <w:t>价值研究</w:t>
      </w:r>
    </w:p>
    <w:p w14:paraId="3CBE47D3">
      <w:pPr>
        <w:keepNext w:val="0"/>
        <w:keepLines w:val="0"/>
        <w:pageBreakBefore w:val="0"/>
        <w:wordWrap/>
        <w:overflowPunct/>
        <w:topLinePunct w:val="0"/>
        <w:bidi w:val="0"/>
        <w:spacing w:line="560" w:lineRule="exact"/>
        <w:ind w:right="248"/>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
          <w:bCs/>
          <w:spacing w:val="8"/>
          <w:sz w:val="32"/>
          <w:szCs w:val="32"/>
          <w:lang w:eastAsia="zh-CN"/>
        </w:rPr>
        <w:t>一、领域：</w:t>
      </w:r>
      <w:r>
        <w:rPr>
          <w:rFonts w:hint="eastAsia" w:ascii="仿宋_GB2312" w:hAnsi="仿宋_GB2312" w:eastAsia="仿宋_GB2312" w:cs="仿宋_GB2312"/>
          <w:bCs/>
          <w:spacing w:val="8"/>
          <w:sz w:val="32"/>
          <w:szCs w:val="32"/>
          <w:lang w:eastAsia="zh-CN"/>
        </w:rPr>
        <w:t>心脏病学与生物标志物研究交叉领域</w:t>
      </w:r>
    </w:p>
    <w:p w14:paraId="120B51BF">
      <w:pPr>
        <w:keepNext w:val="0"/>
        <w:keepLines w:val="0"/>
        <w:pageBreakBefore w:val="0"/>
        <w:wordWrap/>
        <w:overflowPunct/>
        <w:topLinePunct w:val="0"/>
        <w:bidi w:val="0"/>
        <w:spacing w:line="560" w:lineRule="exact"/>
        <w:ind w:right="248"/>
        <w:jc w:val="both"/>
        <w:outlineLvl w:val="0"/>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二、主要研究内容</w:t>
      </w:r>
    </w:p>
    <w:p w14:paraId="75F680DB">
      <w:pPr>
        <w:keepNext w:val="0"/>
        <w:keepLines w:val="0"/>
        <w:pageBreakBefore w:val="0"/>
        <w:wordWrap/>
        <w:overflowPunct/>
        <w:topLinePunct w:val="0"/>
        <w:bidi w:val="0"/>
        <w:spacing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w:t>
      </w:r>
      <w:r>
        <w:rPr>
          <w:rFonts w:hint="eastAsia" w:ascii="仿宋_GB2312" w:hAnsi="仿宋_GB2312" w:eastAsia="仿宋_GB2312" w:cs="仿宋_GB2312"/>
          <w:bCs/>
          <w:spacing w:val="8"/>
          <w:sz w:val="32"/>
          <w:szCs w:val="32"/>
          <w:lang w:val="en-US" w:eastAsia="zh-CN"/>
        </w:rPr>
        <w:t>一</w:t>
      </w:r>
      <w:r>
        <w:rPr>
          <w:rFonts w:hint="eastAsia" w:ascii="仿宋_GB2312" w:hAnsi="仿宋_GB2312" w:eastAsia="仿宋_GB2312" w:cs="仿宋_GB2312"/>
          <w:bCs/>
          <w:spacing w:val="8"/>
          <w:sz w:val="32"/>
          <w:szCs w:val="32"/>
          <w:lang w:eastAsia="zh-CN"/>
        </w:rPr>
        <w:t>）针对心力衰竭（heart failure, HF）精准诊疗与共病综合管理的临床需求，本研究聚焦HF病程进展隐匿、共病负担沉重及炎症－代谢－心功能多维信息整合不足等核心问题；</w:t>
      </w:r>
    </w:p>
    <w:p w14:paraId="727284CE">
      <w:pPr>
        <w:keepNext w:val="0"/>
        <w:keepLines w:val="0"/>
        <w:pageBreakBefore w:val="0"/>
        <w:wordWrap/>
        <w:overflowPunct/>
        <w:topLinePunct w:val="0"/>
        <w:bidi w:val="0"/>
        <w:spacing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w:t>
      </w:r>
      <w:r>
        <w:rPr>
          <w:rFonts w:hint="eastAsia" w:ascii="仿宋_GB2312" w:hAnsi="仿宋_GB2312" w:eastAsia="仿宋_GB2312" w:cs="仿宋_GB2312"/>
          <w:bCs/>
          <w:spacing w:val="8"/>
          <w:sz w:val="32"/>
          <w:szCs w:val="32"/>
          <w:lang w:val="en-US" w:eastAsia="zh-CN"/>
        </w:rPr>
        <w:t>二</w:t>
      </w:r>
      <w:r>
        <w:rPr>
          <w:rFonts w:hint="eastAsia" w:ascii="仿宋_GB2312" w:hAnsi="仿宋_GB2312" w:eastAsia="仿宋_GB2312" w:cs="仿宋_GB2312"/>
          <w:bCs/>
          <w:spacing w:val="8"/>
          <w:sz w:val="32"/>
          <w:szCs w:val="32"/>
          <w:lang w:eastAsia="zh-CN"/>
        </w:rPr>
        <w:t>）以成年心血管患者（涵盖冠心病及各HF亚型）为研究对象，基于回顾性观察性队列数据，整合心功能、炎症和代谢表型信息，系统评估可溶性ST2（soluble ST2, sST2）和胰岛素样生长因子结合蛋白4（insulin-like growth factor binding protein 4, IGFBP4）与HF严重程度及共病负担的关联；</w:t>
      </w:r>
    </w:p>
    <w:p w14:paraId="471DCB63">
      <w:pPr>
        <w:keepNext w:val="0"/>
        <w:keepLines w:val="0"/>
        <w:pageBreakBefore w:val="0"/>
        <w:wordWrap/>
        <w:overflowPunct/>
        <w:topLinePunct w:val="0"/>
        <w:bidi w:val="0"/>
        <w:spacing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w:t>
      </w:r>
      <w:r>
        <w:rPr>
          <w:rFonts w:hint="eastAsia" w:ascii="仿宋_GB2312" w:hAnsi="仿宋_GB2312" w:eastAsia="仿宋_GB2312" w:cs="仿宋_GB2312"/>
          <w:bCs/>
          <w:spacing w:val="8"/>
          <w:sz w:val="32"/>
          <w:szCs w:val="32"/>
          <w:lang w:val="en-US" w:eastAsia="zh-CN"/>
        </w:rPr>
        <w:t>三</w:t>
      </w:r>
      <w:r>
        <w:rPr>
          <w:rFonts w:hint="eastAsia" w:ascii="仿宋_GB2312" w:hAnsi="仿宋_GB2312" w:eastAsia="仿宋_GB2312" w:cs="仿宋_GB2312"/>
          <w:bCs/>
          <w:spacing w:val="8"/>
          <w:sz w:val="32"/>
          <w:szCs w:val="32"/>
          <w:lang w:eastAsia="zh-CN"/>
        </w:rPr>
        <w:t>）融合HbA1c/HDL比值、血红蛋白糖化指数（hemoglobin glycation index, HGI）、胰岛素抵抗稳态模型评估指数（homeostasis model assessment of insulin resistance, HOMA-IR）和维生素D（vitamin D, VD）水平等关键指标，构建多维数据驱动的HF风险分层及诊断模型，为HF精准诊断及临床决策提供科学依据。</w:t>
      </w:r>
    </w:p>
    <w:p w14:paraId="6FDA79E7">
      <w:pPr>
        <w:keepNext w:val="0"/>
        <w:keepLines w:val="0"/>
        <w:pageBreakBefore w:val="0"/>
        <w:wordWrap/>
        <w:overflowPunct/>
        <w:topLinePunct w:val="0"/>
        <w:bidi w:val="0"/>
        <w:spacing w:line="560" w:lineRule="exact"/>
        <w:ind w:right="248"/>
        <w:jc w:val="both"/>
        <w:outlineLvl w:val="0"/>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三、项目考核指标（项目执行期内）</w:t>
      </w:r>
    </w:p>
    <w:p w14:paraId="4C464E5D">
      <w:pPr>
        <w:keepNext w:val="0"/>
        <w:keepLines w:val="0"/>
        <w:pageBreakBefore w:val="0"/>
        <w:wordWrap/>
        <w:overflowPunct/>
        <w:topLinePunct w:val="0"/>
        <w:bidi w:val="0"/>
        <w:spacing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（1）学术指标：发表学术论文≥1篇；</w:t>
      </w:r>
    </w:p>
    <w:p w14:paraId="0B91161B">
      <w:pPr>
        <w:keepNext w:val="0"/>
        <w:keepLines w:val="0"/>
        <w:pageBreakBefore w:val="0"/>
        <w:wordWrap/>
        <w:overflowPunct/>
        <w:topLinePunct w:val="0"/>
        <w:bidi w:val="0"/>
        <w:spacing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（2）技术指标：系统评估sST2和IGFBP4等生物标志物与心力衰竭严重程度及共病负担的关联。通过多变量统计分析，构建融合sST2、IGFBP4、HbA1c/HDL比值、HGI、HOMA-IR和维生素D（vitamin D, VD）水平等关键指标的HF风险分层及诊断模型，</w:t>
      </w:r>
      <w:r>
        <w:rPr>
          <w:rFonts w:hint="eastAsia" w:ascii="仿宋_GB2312" w:hAnsi="仿宋_GB2312" w:eastAsia="仿宋_GB2312" w:cs="仿宋_GB2312"/>
          <w:bCs/>
          <w:spacing w:val="8"/>
          <w:sz w:val="32"/>
          <w:szCs w:val="32"/>
          <w:lang w:val="en-US" w:eastAsia="zh-CN"/>
        </w:rPr>
        <w:t>并</w:t>
      </w:r>
      <w:r>
        <w:rPr>
          <w:rFonts w:hint="eastAsia" w:ascii="仿宋_GB2312" w:hAnsi="仿宋_GB2312" w:eastAsia="仿宋_GB2312" w:cs="仿宋_GB2312"/>
          <w:bCs/>
          <w:spacing w:val="8"/>
          <w:sz w:val="32"/>
          <w:szCs w:val="32"/>
          <w:lang w:eastAsia="zh-CN"/>
        </w:rPr>
        <w:t>形成</w:t>
      </w:r>
      <w:r>
        <w:rPr>
          <w:rFonts w:hint="eastAsia" w:ascii="仿宋_GB2312" w:hAnsi="仿宋_GB2312" w:eastAsia="仿宋_GB2312" w:cs="仿宋_GB2312"/>
          <w:bCs/>
          <w:spacing w:val="8"/>
          <w:sz w:val="32"/>
          <w:szCs w:val="32"/>
          <w:lang w:val="en-US" w:eastAsia="zh-CN"/>
        </w:rPr>
        <w:t>≥</w:t>
      </w:r>
      <w:r>
        <w:rPr>
          <w:rFonts w:hint="eastAsia" w:ascii="仿宋_GB2312" w:hAnsi="仿宋_GB2312" w:eastAsia="仿宋_GB2312" w:cs="仿宋_GB2312"/>
          <w:bCs/>
          <w:spacing w:val="8"/>
          <w:sz w:val="32"/>
          <w:szCs w:val="32"/>
          <w:lang w:eastAsia="zh-CN"/>
        </w:rPr>
        <w:t>1份项目结题分析报告。</w:t>
      </w:r>
    </w:p>
    <w:p w14:paraId="566614D3">
      <w:pPr>
        <w:keepNext w:val="0"/>
        <w:keepLines w:val="0"/>
        <w:pageBreakBefore w:val="0"/>
        <w:wordWrap/>
        <w:overflowPunct/>
        <w:topLinePunct w:val="0"/>
        <w:bidi w:val="0"/>
        <w:spacing w:line="560" w:lineRule="exact"/>
        <w:ind w:right="248"/>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
          <w:bCs/>
          <w:spacing w:val="8"/>
          <w:sz w:val="32"/>
          <w:szCs w:val="32"/>
          <w:lang w:eastAsia="zh-CN"/>
        </w:rPr>
        <w:t>四、项目实施年限：</w:t>
      </w:r>
      <w:r>
        <w:rPr>
          <w:rFonts w:hint="eastAsia" w:ascii="仿宋_GB2312" w:hAnsi="仿宋_GB2312" w:eastAsia="仿宋_GB2312" w:cs="仿宋_GB2312"/>
          <w:bCs/>
          <w:spacing w:val="8"/>
          <w:sz w:val="32"/>
          <w:szCs w:val="32"/>
          <w:lang w:eastAsia="zh-CN"/>
        </w:rPr>
        <w:t>不超过2年</w:t>
      </w:r>
    </w:p>
    <w:p w14:paraId="42EFC58C">
      <w:pPr>
        <w:keepNext w:val="0"/>
        <w:keepLines w:val="0"/>
        <w:pageBreakBefore w:val="0"/>
        <w:wordWrap/>
        <w:overflowPunct/>
        <w:topLinePunct w:val="0"/>
        <w:bidi w:val="0"/>
        <w:spacing w:line="560" w:lineRule="exact"/>
        <w:ind w:right="248"/>
        <w:jc w:val="both"/>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8"/>
          <w:sz w:val="32"/>
          <w:szCs w:val="32"/>
          <w:lang w:eastAsia="zh-CN"/>
        </w:rPr>
        <w:t>五、资助金额：</w:t>
      </w:r>
      <w:r>
        <w:rPr>
          <w:rFonts w:hint="eastAsia" w:ascii="仿宋_GB2312" w:hAnsi="仿宋_GB2312" w:eastAsia="仿宋_GB2312" w:cs="仿宋_GB2312"/>
          <w:bCs/>
          <w:spacing w:val="8"/>
          <w:sz w:val="32"/>
          <w:szCs w:val="32"/>
          <w:highlight w:val="none"/>
          <w:lang w:eastAsia="zh-CN"/>
        </w:rPr>
        <w:t>不超过</w:t>
      </w:r>
      <w:r>
        <w:rPr>
          <w:rFonts w:hint="eastAsia" w:ascii="仿宋_GB2312" w:hAnsi="仿宋_GB2312" w:eastAsia="仿宋_GB2312" w:cs="仿宋_GB2312"/>
          <w:bCs/>
          <w:spacing w:val="8"/>
          <w:sz w:val="32"/>
          <w:szCs w:val="32"/>
          <w:highlight w:val="none"/>
          <w:lang w:val="en-US" w:eastAsia="zh-CN"/>
        </w:rPr>
        <w:t>5</w:t>
      </w:r>
      <w:r>
        <w:rPr>
          <w:rFonts w:hint="eastAsia" w:ascii="仿宋_GB2312" w:hAnsi="仿宋_GB2312" w:eastAsia="仿宋_GB2312" w:cs="仿宋_GB2312"/>
          <w:bCs/>
          <w:spacing w:val="8"/>
          <w:sz w:val="32"/>
          <w:szCs w:val="32"/>
          <w:highlight w:val="none"/>
          <w:lang w:eastAsia="zh-CN"/>
        </w:rPr>
        <w:t>万元</w:t>
      </w:r>
    </w:p>
    <w:p w14:paraId="780A4AEE">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6A733533">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3E1A9FBF">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61C65DC4">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00F61D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1332EC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7E98BA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78A81C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3BFB0A1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4724E35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070177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1E7F87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0DB2703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49269A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54F1F1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38BF5A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5E1D038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hint="eastAsia" w:ascii="黑体" w:hAnsi="黑体" w:eastAsia="黑体" w:cs="黑体"/>
          <w:b/>
          <w:bCs/>
          <w:spacing w:val="8"/>
          <w:sz w:val="32"/>
          <w:szCs w:val="32"/>
          <w:highlight w:val="none"/>
          <w:lang w:eastAsia="zh-CN"/>
        </w:rPr>
      </w:pPr>
    </w:p>
    <w:p w14:paraId="146855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
        <w:jc w:val="center"/>
        <w:textAlignment w:val="baseline"/>
        <w:rPr>
          <w:rFonts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hint="eastAsia" w:ascii="黑体" w:hAnsi="黑体" w:eastAsia="黑体" w:cs="黑体"/>
          <w:b/>
          <w:bCs/>
          <w:spacing w:val="8"/>
          <w:sz w:val="32"/>
          <w:szCs w:val="32"/>
          <w:highlight w:val="none"/>
          <w:lang w:val="en-US" w:eastAsia="zh-CN"/>
        </w:rPr>
        <w:t>12002</w:t>
      </w:r>
      <w:r>
        <w:rPr>
          <w:rFonts w:hint="eastAsia" w:ascii="黑体" w:hAnsi="黑体" w:eastAsia="黑体" w:cs="黑体"/>
          <w:b/>
          <w:bCs/>
          <w:spacing w:val="8"/>
          <w:sz w:val="32"/>
          <w:szCs w:val="32"/>
          <w:highlight w:val="none"/>
          <w:lang w:eastAsia="zh-CN"/>
        </w:rPr>
        <w:t xml:space="preserve"> 基于机器学习整合多中心标志物与临床数据建立肺癌分型预测模型及模型优化策略</w:t>
      </w:r>
      <w:r>
        <w:rPr>
          <w:rFonts w:hint="eastAsia" w:ascii="黑体" w:hAnsi="黑体" w:eastAsia="黑体" w:cs="黑体"/>
          <w:b/>
          <w:bCs/>
          <w:spacing w:val="8"/>
          <w:sz w:val="32"/>
          <w:szCs w:val="32"/>
          <w:highlight w:val="none"/>
          <w:lang w:val="en-US" w:eastAsia="zh-CN"/>
        </w:rPr>
        <w:t>的多中心临床研究</w:t>
      </w:r>
    </w:p>
    <w:p w14:paraId="2EEE0DE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9" w:rightChars="0"/>
        <w:jc w:val="both"/>
        <w:textAlignment w:val="baseline"/>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b/>
          <w:bCs w:val="0"/>
          <w:snapToGrid w:val="0"/>
          <w:color w:val="000000"/>
          <w:spacing w:val="8"/>
          <w:sz w:val="32"/>
          <w:szCs w:val="32"/>
          <w:lang w:val="en-US" w:eastAsia="zh-CN" w:bidi="ar-SA"/>
        </w:rPr>
        <w:t>一、</w:t>
      </w:r>
      <w:r>
        <w:rPr>
          <w:rFonts w:hint="eastAsia" w:ascii="仿宋_GB2312" w:hAnsi="仿宋_GB2312" w:eastAsia="仿宋_GB2312" w:cs="仿宋_GB2312"/>
          <w:b/>
          <w:bCs w:val="0"/>
          <w:spacing w:val="8"/>
          <w:sz w:val="32"/>
          <w:szCs w:val="32"/>
          <w:highlight w:val="none"/>
          <w:lang w:eastAsia="zh-CN"/>
        </w:rPr>
        <w:t>领域：</w:t>
      </w:r>
      <w:r>
        <w:rPr>
          <w:rFonts w:hint="eastAsia" w:ascii="仿宋_GB2312" w:hAnsi="仿宋_GB2312" w:eastAsia="仿宋_GB2312" w:cs="仿宋_GB2312"/>
          <w:spacing w:val="8"/>
          <w:sz w:val="32"/>
          <w:szCs w:val="32"/>
          <w:highlight w:val="none"/>
          <w:lang w:val="en-US" w:eastAsia="zh-CN"/>
        </w:rPr>
        <w:t>预测模型</w:t>
      </w:r>
    </w:p>
    <w:p w14:paraId="785A922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9" w:rightChars="0"/>
        <w:jc w:val="both"/>
        <w:textAlignment w:val="baseline"/>
        <w:rPr>
          <w:rFonts w:hint="eastAsia" w:ascii="仿宋_GB2312" w:hAnsi="仿宋_GB2312" w:eastAsia="仿宋_GB2312" w:cs="仿宋_GB2312"/>
          <w:b/>
          <w:bCs w:val="0"/>
          <w:spacing w:val="8"/>
          <w:sz w:val="32"/>
          <w:szCs w:val="32"/>
          <w:highlight w:val="none"/>
          <w:lang w:eastAsia="zh-CN"/>
        </w:rPr>
      </w:pPr>
      <w:r>
        <w:rPr>
          <w:rFonts w:hint="eastAsia" w:ascii="仿宋_GB2312" w:hAnsi="仿宋_GB2312" w:eastAsia="仿宋_GB2312" w:cs="仿宋_GB2312"/>
          <w:b/>
          <w:bCs w:val="0"/>
          <w:spacing w:val="8"/>
          <w:sz w:val="32"/>
          <w:szCs w:val="32"/>
          <w:highlight w:val="none"/>
          <w:lang w:eastAsia="zh-CN"/>
        </w:rPr>
        <w:t>二、主要研究内容</w:t>
      </w:r>
    </w:p>
    <w:p w14:paraId="402F95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9" w:firstLine="672" w:firstLineChars="200"/>
        <w:jc w:val="both"/>
        <w:textAlignment w:val="baseline"/>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lang w:val="en-US" w:eastAsia="zh-CN"/>
        </w:rPr>
        <w:t>一</w:t>
      </w:r>
      <w:r>
        <w:rPr>
          <w:rFonts w:hint="eastAsia" w:ascii="仿宋_GB2312" w:hAnsi="仿宋_GB2312" w:eastAsia="仿宋_GB2312" w:cs="仿宋_GB2312"/>
          <w:spacing w:val="8"/>
          <w:sz w:val="32"/>
          <w:szCs w:val="32"/>
          <w:highlight w:val="none"/>
          <w:lang w:eastAsia="zh-CN"/>
        </w:rPr>
        <w:t>）构建基于多维数据的肺癌分型预测模型：综合CEA、CYFRA21-1、SCCA、NSE、ProGRP五项常用血清肿瘤标志物、临床特征与病理信息，构建多模型对比的肺癌分型预测工具，明确最优模型策略；</w:t>
      </w:r>
    </w:p>
    <w:p w14:paraId="460DF0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9" w:firstLine="672" w:firstLineChars="200"/>
        <w:jc w:val="both"/>
        <w:textAlignment w:val="baseline"/>
        <w:rPr>
          <w:rFonts w:hint="eastAsia" w:ascii="仿宋_GB2312" w:hAnsi="仿宋_GB2312" w:eastAsia="仿宋_GB2312" w:cs="仿宋_GB2312"/>
          <w:b w:val="0"/>
          <w:sz w:val="32"/>
          <w:szCs w:val="32"/>
        </w:rPr>
      </w:pP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lang w:val="en-US" w:eastAsia="zh-CN"/>
        </w:rPr>
        <w:t>二</w:t>
      </w:r>
      <w:r>
        <w:rPr>
          <w:rFonts w:hint="eastAsia" w:ascii="仿宋_GB2312" w:hAnsi="仿宋_GB2312" w:eastAsia="仿宋_GB2312" w:cs="仿宋_GB2312"/>
          <w:spacing w:val="8"/>
          <w:sz w:val="32"/>
          <w:szCs w:val="32"/>
          <w:highlight w:val="none"/>
          <w:lang w:eastAsia="zh-CN"/>
        </w:rPr>
        <w:t>）比较Logistic回归、XGBoost、随机森林、支持向量机等多种机器学习算法的分型预测效果，通过交叉验证与外部数据验证模型稳定性与泛化能力，基于统计检验方法评估不同亚型中各标志物的表达差异与相互关系，筛选具有潜在诊断价值的关键变量。</w:t>
      </w:r>
      <w:r>
        <w:rPr>
          <w:rFonts w:hint="eastAsia" w:ascii="仿宋_GB2312" w:hAnsi="仿宋_GB2312" w:eastAsia="仿宋_GB2312" w:cs="仿宋_GB2312"/>
          <w:b w:val="0"/>
          <w:sz w:val="32"/>
          <w:szCs w:val="32"/>
        </w:rPr>
        <w:t xml:space="preserve"> </w:t>
      </w:r>
    </w:p>
    <w:p w14:paraId="6D64DE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9"/>
        <w:jc w:val="both"/>
        <w:textAlignment w:val="baseline"/>
        <w:rPr>
          <w:rFonts w:hint="eastAsia" w:ascii="仿宋_GB2312" w:hAnsi="仿宋_GB2312" w:eastAsia="仿宋_GB2312" w:cs="仿宋_GB2312"/>
          <w:b/>
          <w:bCs w:val="0"/>
          <w:spacing w:val="8"/>
          <w:sz w:val="32"/>
          <w:szCs w:val="32"/>
          <w:highlight w:val="none"/>
          <w:lang w:eastAsia="zh-CN"/>
        </w:rPr>
      </w:pPr>
      <w:r>
        <w:rPr>
          <w:rFonts w:hint="eastAsia" w:ascii="仿宋_GB2312" w:hAnsi="仿宋_GB2312" w:eastAsia="仿宋_GB2312" w:cs="仿宋_GB2312"/>
          <w:b/>
          <w:bCs w:val="0"/>
          <w:spacing w:val="8"/>
          <w:sz w:val="32"/>
          <w:szCs w:val="32"/>
          <w:highlight w:val="none"/>
          <w:lang w:eastAsia="zh-CN"/>
        </w:rPr>
        <w:t>三、项目考核指标（项目执行期内）</w:t>
      </w:r>
    </w:p>
    <w:p w14:paraId="0AEC7B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9" w:firstLine="504" w:firstLineChars="150"/>
        <w:jc w:val="both"/>
        <w:textAlignment w:val="baseline"/>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（一）学术指标：共同发表中文或SCI论文≥1篇；</w:t>
      </w:r>
    </w:p>
    <w:p w14:paraId="644433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9" w:firstLine="504" w:firstLineChars="150"/>
        <w:jc w:val="both"/>
        <w:textAlignment w:val="baseline"/>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（二）技术指标：通过多中心数据整合，采用血清标志物与临床变量结合的机器学习模型，构建肺癌病理分型的精准预测工具，形成≥1份</w:t>
      </w:r>
      <w:r>
        <w:rPr>
          <w:rFonts w:hint="eastAsia" w:ascii="仿宋_GB2312" w:hAnsi="仿宋_GB2312" w:eastAsia="仿宋_GB2312" w:cs="仿宋_GB2312"/>
          <w:spacing w:val="8"/>
          <w:sz w:val="32"/>
          <w:szCs w:val="32"/>
          <w:highlight w:val="none"/>
          <w:lang w:val="en-US" w:eastAsia="zh-CN"/>
        </w:rPr>
        <w:t>项目</w:t>
      </w:r>
      <w:r>
        <w:rPr>
          <w:rFonts w:hint="eastAsia" w:ascii="仿宋_GB2312" w:hAnsi="仿宋_GB2312" w:eastAsia="仿宋_GB2312" w:cs="仿宋_GB2312"/>
          <w:spacing w:val="8"/>
          <w:sz w:val="32"/>
          <w:szCs w:val="32"/>
          <w:highlight w:val="none"/>
          <w:lang w:eastAsia="zh-CN"/>
        </w:rPr>
        <w:t>评估报告。</w:t>
      </w:r>
    </w:p>
    <w:p w14:paraId="5CAB078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9"/>
        <w:jc w:val="both"/>
        <w:textAlignment w:val="baseline"/>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b/>
          <w:bCs w:val="0"/>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不超过2年</w:t>
      </w:r>
    </w:p>
    <w:p w14:paraId="3A1F02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9"/>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val="0"/>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w:t>
      </w:r>
      <w:r>
        <w:rPr>
          <w:rFonts w:hint="eastAsia" w:ascii="仿宋_GB2312" w:hAnsi="仿宋_GB2312" w:eastAsia="仿宋_GB2312" w:cs="仿宋_GB2312"/>
          <w:spacing w:val="8"/>
          <w:sz w:val="32"/>
          <w:szCs w:val="32"/>
          <w:highlight w:val="none"/>
          <w:lang w:val="en-US" w:eastAsia="zh-CN"/>
        </w:rPr>
        <w:t>5</w:t>
      </w:r>
      <w:r>
        <w:rPr>
          <w:rFonts w:hint="eastAsia" w:ascii="仿宋_GB2312" w:hAnsi="仿宋_GB2312" w:eastAsia="仿宋_GB2312" w:cs="仿宋_GB2312"/>
          <w:spacing w:val="8"/>
          <w:sz w:val="32"/>
          <w:szCs w:val="32"/>
          <w:highlight w:val="none"/>
          <w:lang w:eastAsia="zh-CN"/>
        </w:rPr>
        <w:t>万元</w:t>
      </w:r>
    </w:p>
    <w:p w14:paraId="37744520">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23997233">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190C3B26">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7B242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12003 </w:t>
      </w:r>
      <w:r>
        <w:rPr>
          <w:rFonts w:hint="eastAsia" w:ascii="黑体" w:hAnsi="黑体" w:eastAsia="黑体" w:cs="黑体"/>
          <w:b/>
          <w:bCs/>
          <w:sz w:val="32"/>
          <w:szCs w:val="32"/>
        </w:rPr>
        <w:t>基于单细胞与转录组测序解析乳腺癌组织驻留中性粒细胞的多样性与可塑性及其临床意义研究</w:t>
      </w:r>
    </w:p>
    <w:p w14:paraId="2A5FABC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sz w:val="32"/>
          <w:szCs w:val="32"/>
          <w:lang w:val="en-US" w:eastAsia="en-US" w:bidi="ar-SA"/>
        </w:rPr>
        <w:t>一、</w:t>
      </w:r>
      <w:r>
        <w:rPr>
          <w:rFonts w:hint="eastAsia" w:ascii="仿宋_GB2312" w:hAnsi="仿宋_GB2312" w:eastAsia="仿宋_GB2312" w:cs="仿宋_GB2312"/>
          <w:b/>
          <w:bCs/>
          <w:sz w:val="32"/>
          <w:szCs w:val="32"/>
        </w:rPr>
        <w:t>领域：</w:t>
      </w:r>
      <w:r>
        <w:rPr>
          <w:rFonts w:hint="eastAsia" w:ascii="仿宋_GB2312" w:hAnsi="仿宋_GB2312" w:eastAsia="仿宋_GB2312" w:cs="仿宋_GB2312"/>
          <w:sz w:val="32"/>
          <w:szCs w:val="32"/>
          <w:lang w:val="en-US" w:eastAsia="zh-CN"/>
        </w:rPr>
        <w:t>肿瘤</w:t>
      </w:r>
      <w:r>
        <w:rPr>
          <w:rFonts w:hint="eastAsia" w:ascii="仿宋_GB2312" w:hAnsi="仿宋_GB2312" w:eastAsia="仿宋_GB2312" w:cs="仿宋_GB2312"/>
          <w:sz w:val="32"/>
          <w:szCs w:val="32"/>
        </w:rPr>
        <w:t>免疫微环境与免疫治疗</w:t>
      </w:r>
    </w:p>
    <w:p w14:paraId="6A7B09E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sz w:val="32"/>
          <w:szCs w:val="32"/>
          <w:lang w:val="en-US" w:eastAsia="en-US" w:bidi="ar-SA"/>
        </w:rPr>
        <w:t>二、</w:t>
      </w:r>
      <w:r>
        <w:rPr>
          <w:rFonts w:hint="eastAsia" w:ascii="仿宋_GB2312" w:hAnsi="仿宋_GB2312" w:eastAsia="仿宋_GB2312" w:cs="仿宋_GB2312"/>
          <w:b/>
          <w:bCs/>
          <w:sz w:val="32"/>
          <w:szCs w:val="32"/>
        </w:rPr>
        <w:t>主要研究内容</w:t>
      </w:r>
    </w:p>
    <w:p w14:paraId="24C60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本研究旨在通过整合scRNA-seq与bulk RNA-seq技术，系统构建乳腺癌肿瘤微环境（TME）的高分辨率单细胞图谱，重点解析组织驻留中性粒细胞（TRN）的异质性并鉴定其功能亚群（TAN与NAN）</w:t>
      </w:r>
      <w:r>
        <w:rPr>
          <w:rFonts w:hint="eastAsia" w:ascii="仿宋_GB2312" w:hAnsi="仿宋_GB2312" w:eastAsia="仿宋_GB2312" w:cs="仿宋_GB2312"/>
          <w:sz w:val="32"/>
          <w:szCs w:val="32"/>
          <w:lang w:eastAsia="zh-CN"/>
        </w:rPr>
        <w:t>；</w:t>
      </w:r>
    </w:p>
    <w:p w14:paraId="0911E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利用迁移学习整合多源数据，比较不同分子亚型（如Luminal、HER2+、三阴性乳腺癌）中TRN的分布与功能差异；进而通过配体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受体互作网络分析，揭示TRN与乳腺癌细胞及其他免疫细胞（如T细胞、巨噬细胞）的相互作用在免疫逃逸和耐药中的作用机制。结合乳腺癌bulk RNA-seq队列数据，建立TRN特征基因签名，并系统评估其与患者分子分型、免疫治疗/化疗反应及生存预后的临床关联</w:t>
      </w:r>
      <w:r>
        <w:rPr>
          <w:rFonts w:hint="eastAsia" w:ascii="仿宋_GB2312" w:hAnsi="仿宋_GB2312" w:eastAsia="仿宋_GB2312" w:cs="仿宋_GB2312"/>
          <w:sz w:val="32"/>
          <w:szCs w:val="32"/>
          <w:lang w:eastAsia="zh-CN"/>
        </w:rPr>
        <w:t>；</w:t>
      </w:r>
    </w:p>
    <w:p w14:paraId="46375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通过免疫组化、流式细胞术及动物模型等实验手段对前述发现进行功能验证，阐明TRN在乳腺癌进展中的关键作用及其作为新型生物标志物和潜在治疗靶点的转化潜力。</w:t>
      </w:r>
    </w:p>
    <w:p w14:paraId="10ECC9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6100A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（一）学术指标：发表学术论文≥1篇；</w:t>
      </w:r>
    </w:p>
    <w:p w14:paraId="4BB97F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技术指标：建立标准化的TRN单细胞数据分析与验证流程，构建完整的乳腺癌TRN多组学临床关联数据库，系统阐述TRN在不同分子亚型乳腺癌中的分布特征、功能异质性及其与免疫治疗/化疗反应之间的作用机制，明确TRN特征在复杂免疫微环境中的预测优势及其对患者预后的影响，并对所建立的TRN特征预后预测模型进行效能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形成≥1份结题分析报告</w:t>
      </w:r>
      <w:r>
        <w:rPr>
          <w:rFonts w:hint="eastAsia" w:ascii="仿宋_GB2312" w:hAnsi="仿宋_GB2312" w:eastAsia="仿宋_GB2312" w:cs="仿宋_GB2312"/>
          <w:sz w:val="32"/>
          <w:szCs w:val="32"/>
          <w:lang w:eastAsia="zh-CN"/>
        </w:rPr>
        <w:t>。</w:t>
      </w:r>
    </w:p>
    <w:p w14:paraId="72A15EB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四、项目实施年限：</w:t>
      </w:r>
      <w:r>
        <w:rPr>
          <w:rFonts w:hint="eastAsia" w:ascii="仿宋_GB2312" w:hAnsi="仿宋_GB2312" w:eastAsia="仿宋_GB2312" w:cs="仿宋_GB2312"/>
          <w:sz w:val="32"/>
          <w:szCs w:val="32"/>
        </w:rPr>
        <w:t>不超过2年</w:t>
      </w:r>
    </w:p>
    <w:p w14:paraId="6250C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五、资助金额：</w:t>
      </w:r>
      <w:r>
        <w:rPr>
          <w:rFonts w:hint="eastAsia" w:ascii="仿宋_GB2312" w:hAnsi="仿宋_GB2312" w:eastAsia="仿宋_GB2312" w:cs="仿宋_GB2312"/>
          <w:b w:val="0"/>
          <w:bCs w:val="0"/>
          <w:sz w:val="32"/>
          <w:szCs w:val="32"/>
          <w:lang w:val="en-US" w:eastAsia="zh-CN"/>
        </w:rPr>
        <w:t>不超过</w:t>
      </w:r>
      <w:r>
        <w:rPr>
          <w:rFonts w:hint="eastAsia" w:ascii="仿宋_GB2312" w:hAnsi="仿宋_GB2312" w:eastAsia="仿宋_GB2312" w:cs="仿宋_GB2312"/>
          <w:b w:val="0"/>
          <w:bCs w:val="0"/>
          <w:sz w:val="32"/>
          <w:szCs w:val="32"/>
        </w:rPr>
        <w:t>10万元</w:t>
      </w:r>
    </w:p>
    <w:p w14:paraId="33B0D05C">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2425B375">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3D0B5965">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24E038B0">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4E9B3AB0">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Style w:val="6"/>
          <w:rFonts w:hint="eastAsia" w:ascii="仿宋_GB2312" w:hAnsi="仿宋_GB2312" w:eastAsia="仿宋_GB2312" w:cs="仿宋_GB2312"/>
          <w:b/>
          <w:bCs/>
          <w:i w:val="0"/>
          <w:iCs w:val="0"/>
          <w:caps w:val="0"/>
          <w:color w:val="0F1115"/>
          <w:spacing w:val="0"/>
          <w:sz w:val="32"/>
          <w:szCs w:val="32"/>
          <w:shd w:val="clear" w:fill="FFFFFF"/>
        </w:rPr>
      </w:pPr>
    </w:p>
    <w:p w14:paraId="6885F483">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Style w:val="6"/>
          <w:rFonts w:hint="eastAsia" w:ascii="黑体" w:hAnsi="黑体" w:eastAsia="黑体" w:cs="黑体"/>
          <w:b/>
          <w:bCs/>
          <w:i w:val="0"/>
          <w:iCs w:val="0"/>
          <w:caps w:val="0"/>
          <w:color w:val="0F1115"/>
          <w:spacing w:val="0"/>
          <w:sz w:val="32"/>
          <w:szCs w:val="32"/>
          <w:shd w:val="clear" w:fill="FFFFFF"/>
        </w:rPr>
      </w:pPr>
    </w:p>
    <w:p w14:paraId="7ADD8641">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50B9FD02">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3B1DA078">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18CD0E2C">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62EC3723">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70B752AE">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75AD5731">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65E52A7C">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3B41EEA4">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6A6A61F9">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762E496E">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spacing w:val="8"/>
          <w:sz w:val="32"/>
          <w:szCs w:val="32"/>
          <w:highlight w:val="none"/>
          <w:lang w:val="en-US" w:eastAsia="zh-CN"/>
        </w:rPr>
      </w:pPr>
    </w:p>
    <w:p w14:paraId="5D2DBFC3">
      <w:pPr>
        <w:pStyle w:val="3"/>
        <w:keepNext w:val="0"/>
        <w:keepLines w:val="0"/>
        <w:pageBreakBefore w:val="0"/>
        <w:widowControl/>
        <w:suppressLineNumbers w:val="0"/>
        <w:shd w:val="clear" w:fill="FFFFFF"/>
        <w:wordWrap/>
        <w:overflowPunct/>
        <w:topLinePunct w:val="0"/>
        <w:bidi w:val="0"/>
        <w:spacing w:beforeAutospacing="0" w:afterAutospacing="0" w:line="560" w:lineRule="exact"/>
        <w:ind w:left="0" w:right="0" w:firstLine="0"/>
        <w:jc w:val="center"/>
        <w:rPr>
          <w:rFonts w:hint="eastAsia" w:ascii="黑体" w:hAnsi="黑体" w:eastAsia="黑体" w:cs="黑体"/>
          <w:b/>
          <w:bCs/>
          <w:i w:val="0"/>
          <w:iCs w:val="0"/>
          <w:caps w:val="0"/>
          <w:color w:val="0F1115"/>
          <w:spacing w:val="0"/>
          <w:sz w:val="32"/>
          <w:szCs w:val="32"/>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12004 </w:t>
      </w:r>
      <w:r>
        <w:rPr>
          <w:rStyle w:val="6"/>
          <w:rFonts w:hint="eastAsia" w:ascii="黑体" w:hAnsi="黑体" w:eastAsia="黑体" w:cs="黑体"/>
          <w:b/>
          <w:bCs/>
          <w:i w:val="0"/>
          <w:iCs w:val="0"/>
          <w:caps w:val="0"/>
          <w:color w:val="0F1115"/>
          <w:spacing w:val="0"/>
          <w:sz w:val="32"/>
          <w:szCs w:val="32"/>
          <w:shd w:val="clear" w:fill="FFFFFF"/>
        </w:rPr>
        <w:t>基于网络药理学与实验验证探讨熊果酸-FBXW7轴在抗甲状腺癌作用</w:t>
      </w:r>
      <w:bookmarkStart w:id="0" w:name="_GoBack"/>
      <w:r>
        <w:rPr>
          <w:rStyle w:val="6"/>
          <w:rFonts w:hint="eastAsia" w:ascii="黑体" w:hAnsi="黑体" w:eastAsia="黑体" w:cs="黑体"/>
          <w:b/>
          <w:bCs/>
          <w:i w:val="0"/>
          <w:iCs w:val="0"/>
          <w:caps w:val="0"/>
          <w:color w:val="0F1115"/>
          <w:spacing w:val="0"/>
          <w:sz w:val="32"/>
          <w:szCs w:val="32"/>
          <w:shd w:val="clear" w:fill="FFFFFF"/>
        </w:rPr>
        <w:t>研究</w:t>
      </w:r>
      <w:bookmarkEnd w:id="0"/>
    </w:p>
    <w:p w14:paraId="30DE80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Style w:val="6"/>
          <w:rFonts w:hint="eastAsia" w:ascii="仿宋_GB2312" w:hAnsi="仿宋_GB2312" w:eastAsia="仿宋_GB2312" w:cs="仿宋_GB2312"/>
          <w:b w:val="0"/>
          <w:bCs w:val="0"/>
          <w:i w:val="0"/>
          <w:iCs w:val="0"/>
          <w:caps w:val="0"/>
          <w:color w:val="0F1115"/>
          <w:spacing w:val="0"/>
          <w:sz w:val="32"/>
          <w:szCs w:val="32"/>
          <w:shd w:val="clear" w:fill="FFFFFF"/>
        </w:rPr>
      </w:pPr>
      <w:r>
        <w:rPr>
          <w:rStyle w:val="6"/>
          <w:rFonts w:hint="eastAsia" w:ascii="仿宋_GB2312" w:hAnsi="仿宋_GB2312" w:eastAsia="仿宋_GB2312" w:cs="仿宋_GB2312"/>
          <w:b/>
          <w:bCs/>
          <w:i w:val="0"/>
          <w:iCs w:val="0"/>
          <w:caps w:val="0"/>
          <w:color w:val="0F1115"/>
          <w:spacing w:val="0"/>
          <w:sz w:val="32"/>
          <w:szCs w:val="32"/>
          <w:shd w:val="clear" w:fill="FFFFFF"/>
        </w:rPr>
        <w:t>一、领域：</w:t>
      </w:r>
      <w:r>
        <w:rPr>
          <w:rStyle w:val="6"/>
          <w:rFonts w:hint="eastAsia" w:ascii="仿宋_GB2312" w:hAnsi="仿宋_GB2312" w:eastAsia="仿宋_GB2312" w:cs="仿宋_GB2312"/>
          <w:b w:val="0"/>
          <w:bCs w:val="0"/>
          <w:i w:val="0"/>
          <w:iCs w:val="0"/>
          <w:caps w:val="0"/>
          <w:color w:val="0F1115"/>
          <w:spacing w:val="0"/>
          <w:sz w:val="32"/>
          <w:szCs w:val="32"/>
          <w:shd w:val="clear" w:fill="FFFFFF"/>
        </w:rPr>
        <w:t>甲状腺癌、熊果酸、FBXW7</w:t>
      </w:r>
    </w:p>
    <w:p w14:paraId="138BB9B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Style w:val="6"/>
          <w:rFonts w:hint="eastAsia" w:ascii="仿宋_GB2312" w:hAnsi="仿宋_GB2312" w:eastAsia="仿宋_GB2312" w:cs="仿宋_GB2312"/>
          <w:b/>
          <w:bCs/>
          <w:i w:val="0"/>
          <w:iCs w:val="0"/>
          <w:caps w:val="0"/>
          <w:color w:val="0F1115"/>
          <w:spacing w:val="0"/>
          <w:sz w:val="32"/>
          <w:szCs w:val="32"/>
          <w:shd w:val="clear" w:fill="FFFFFF"/>
        </w:rPr>
      </w:pPr>
      <w:r>
        <w:rPr>
          <w:rStyle w:val="6"/>
          <w:rFonts w:hint="eastAsia" w:ascii="仿宋_GB2312" w:hAnsi="仿宋_GB2312" w:eastAsia="仿宋_GB2312" w:cs="仿宋_GB2312"/>
          <w:b/>
          <w:bCs/>
          <w:i w:val="0"/>
          <w:iCs w:val="0"/>
          <w:caps w:val="0"/>
          <w:color w:val="0F1115"/>
          <w:spacing w:val="0"/>
          <w:sz w:val="32"/>
          <w:szCs w:val="32"/>
          <w:shd w:val="clear" w:fill="FFFFFF"/>
        </w:rPr>
        <w:t>二、主要研究内容</w:t>
      </w:r>
    </w:p>
    <w:p w14:paraId="655752C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6"/>
          <w:rFonts w:hint="eastAsia" w:ascii="仿宋_GB2312" w:hAnsi="仿宋_GB2312" w:eastAsia="仿宋_GB2312" w:cs="仿宋_GB2312"/>
          <w:b w:val="0"/>
          <w:bCs w:val="0"/>
          <w:i w:val="0"/>
          <w:iCs w:val="0"/>
          <w:caps w:val="0"/>
          <w:color w:val="0F1115"/>
          <w:spacing w:val="0"/>
          <w:sz w:val="32"/>
          <w:szCs w:val="32"/>
          <w:shd w:val="clear" w:fill="FFFFFF"/>
          <w:lang w:eastAsia="zh-CN"/>
        </w:rPr>
      </w:pPr>
      <w:r>
        <w:rPr>
          <w:rStyle w:val="6"/>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Style w:val="6"/>
          <w:rFonts w:hint="eastAsia" w:ascii="仿宋_GB2312" w:hAnsi="仿宋_GB2312" w:eastAsia="仿宋_GB2312" w:cs="仿宋_GB2312"/>
          <w:b w:val="0"/>
          <w:bCs w:val="0"/>
          <w:i w:val="0"/>
          <w:iCs w:val="0"/>
          <w:caps w:val="0"/>
          <w:color w:val="0F1115"/>
          <w:spacing w:val="0"/>
          <w:sz w:val="32"/>
          <w:szCs w:val="32"/>
          <w:shd w:val="clear" w:fill="FFFFFF"/>
          <w:lang w:val="en-US" w:eastAsia="zh-CN"/>
        </w:rPr>
        <w:t>一</w:t>
      </w:r>
      <w:r>
        <w:rPr>
          <w:rStyle w:val="6"/>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Style w:val="6"/>
          <w:rFonts w:hint="eastAsia" w:ascii="仿宋_GB2312" w:hAnsi="仿宋_GB2312" w:eastAsia="仿宋_GB2312" w:cs="仿宋_GB2312"/>
          <w:b w:val="0"/>
          <w:bCs w:val="0"/>
          <w:i w:val="0"/>
          <w:iCs w:val="0"/>
          <w:caps w:val="0"/>
          <w:color w:val="0F1115"/>
          <w:spacing w:val="0"/>
          <w:sz w:val="32"/>
          <w:szCs w:val="32"/>
          <w:shd w:val="clear" w:fill="FFFFFF"/>
        </w:rPr>
        <w:t>为探讨熊果酸通过调控FBXW7信号轴在甲状腺癌中的抗肿瘤机制，推动中药活性成分在肿瘤治疗中的机制研究与临床转化</w:t>
      </w:r>
      <w:r>
        <w:rPr>
          <w:rStyle w:val="6"/>
          <w:rFonts w:hint="eastAsia" w:ascii="仿宋_GB2312" w:hAnsi="仿宋_GB2312" w:eastAsia="仿宋_GB2312" w:cs="仿宋_GB2312"/>
          <w:b w:val="0"/>
          <w:bCs w:val="0"/>
          <w:i w:val="0"/>
          <w:iCs w:val="0"/>
          <w:caps w:val="0"/>
          <w:color w:val="0F1115"/>
          <w:spacing w:val="0"/>
          <w:sz w:val="32"/>
          <w:szCs w:val="32"/>
          <w:shd w:val="clear" w:fill="FFFFFF"/>
          <w:lang w:eastAsia="zh-CN"/>
        </w:rPr>
        <w:t>；</w:t>
      </w:r>
    </w:p>
    <w:p w14:paraId="6C7FB35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6"/>
          <w:rFonts w:hint="eastAsia" w:ascii="仿宋_GB2312" w:hAnsi="仿宋_GB2312" w:eastAsia="仿宋_GB2312" w:cs="仿宋_GB2312"/>
          <w:b w:val="0"/>
          <w:bCs w:val="0"/>
          <w:i w:val="0"/>
          <w:iCs w:val="0"/>
          <w:caps w:val="0"/>
          <w:color w:val="0F1115"/>
          <w:spacing w:val="0"/>
          <w:sz w:val="32"/>
          <w:szCs w:val="32"/>
          <w:shd w:val="clear" w:fill="FFFFFF"/>
        </w:rPr>
      </w:pPr>
      <w:r>
        <w:rPr>
          <w:rStyle w:val="6"/>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Style w:val="6"/>
          <w:rFonts w:hint="eastAsia" w:ascii="仿宋_GB2312" w:hAnsi="仿宋_GB2312" w:eastAsia="仿宋_GB2312" w:cs="仿宋_GB2312"/>
          <w:b w:val="0"/>
          <w:bCs w:val="0"/>
          <w:i w:val="0"/>
          <w:iCs w:val="0"/>
          <w:caps w:val="0"/>
          <w:color w:val="0F1115"/>
          <w:spacing w:val="0"/>
          <w:sz w:val="32"/>
          <w:szCs w:val="32"/>
          <w:shd w:val="clear" w:fill="FFFFFF"/>
          <w:lang w:val="en-US" w:eastAsia="zh-CN"/>
        </w:rPr>
        <w:t>二</w:t>
      </w:r>
      <w:r>
        <w:rPr>
          <w:rStyle w:val="6"/>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Style w:val="6"/>
          <w:rFonts w:hint="eastAsia" w:ascii="仿宋_GB2312" w:hAnsi="仿宋_GB2312" w:eastAsia="仿宋_GB2312" w:cs="仿宋_GB2312"/>
          <w:b w:val="0"/>
          <w:bCs w:val="0"/>
          <w:i w:val="0"/>
          <w:iCs w:val="0"/>
          <w:caps w:val="0"/>
          <w:color w:val="0F1115"/>
          <w:spacing w:val="0"/>
          <w:sz w:val="32"/>
          <w:szCs w:val="32"/>
          <w:shd w:val="clear" w:fill="FFFFFF"/>
        </w:rPr>
        <w:t>本项目拟开展基于网络药理学预测</w:t>
      </w:r>
      <w:r>
        <w:rPr>
          <w:rStyle w:val="6"/>
          <w:rFonts w:hint="eastAsia" w:ascii="仿宋_GB2312" w:hAnsi="仿宋_GB2312" w:eastAsia="仿宋_GB2312" w:cs="仿宋_GB2312"/>
          <w:b w:val="0"/>
          <w:bCs w:val="0"/>
          <w:i w:val="0"/>
          <w:iCs w:val="0"/>
          <w:caps w:val="0"/>
          <w:color w:val="0F1115"/>
          <w:spacing w:val="0"/>
          <w:sz w:val="32"/>
          <w:szCs w:val="32"/>
          <w:shd w:val="clear" w:fill="FFFFFF"/>
          <w:lang w:val="en-US" w:eastAsia="zh-CN"/>
        </w:rPr>
        <w:t>与</w:t>
      </w:r>
      <w:r>
        <w:rPr>
          <w:rStyle w:val="6"/>
          <w:rFonts w:hint="eastAsia" w:ascii="仿宋_GB2312" w:hAnsi="仿宋_GB2312" w:eastAsia="仿宋_GB2312" w:cs="仿宋_GB2312"/>
          <w:b w:val="0"/>
          <w:bCs w:val="0"/>
          <w:i w:val="0"/>
          <w:iCs w:val="0"/>
          <w:caps w:val="0"/>
          <w:color w:val="0F1115"/>
          <w:spacing w:val="0"/>
          <w:sz w:val="32"/>
          <w:szCs w:val="32"/>
          <w:shd w:val="clear" w:fill="FFFFFF"/>
        </w:rPr>
        <w:t>实验验证的研究。通过构建“药物</w:t>
      </w:r>
      <w:r>
        <w:rPr>
          <w:rStyle w:val="6"/>
          <w:rFonts w:hint="eastAsia" w:ascii="仿宋_GB2312" w:hAnsi="仿宋_GB2312" w:eastAsia="仿宋_GB2312" w:cs="仿宋_GB2312"/>
          <w:b w:val="0"/>
          <w:bCs w:val="0"/>
          <w:i w:val="0"/>
          <w:iCs w:val="0"/>
          <w:caps w:val="0"/>
          <w:color w:val="0F1115"/>
          <w:spacing w:val="0"/>
          <w:sz w:val="32"/>
          <w:szCs w:val="32"/>
          <w:shd w:val="clear" w:fill="FFFFFF"/>
        </w:rPr>
        <w:noBreakHyphen/>
      </w:r>
      <w:r>
        <w:rPr>
          <w:rStyle w:val="6"/>
          <w:rFonts w:hint="eastAsia" w:ascii="仿宋_GB2312" w:hAnsi="仿宋_GB2312" w:eastAsia="仿宋_GB2312" w:cs="仿宋_GB2312"/>
          <w:b w:val="0"/>
          <w:bCs w:val="0"/>
          <w:i w:val="0"/>
          <w:iCs w:val="0"/>
          <w:caps w:val="0"/>
          <w:color w:val="0F1115"/>
          <w:spacing w:val="0"/>
          <w:sz w:val="32"/>
          <w:szCs w:val="32"/>
          <w:shd w:val="clear" w:fill="FFFFFF"/>
        </w:rPr>
        <w:t>靶点</w:t>
      </w:r>
      <w:r>
        <w:rPr>
          <w:rStyle w:val="6"/>
          <w:rFonts w:hint="eastAsia" w:ascii="仿宋_GB2312" w:hAnsi="仿宋_GB2312" w:eastAsia="仿宋_GB2312" w:cs="仿宋_GB2312"/>
          <w:b w:val="0"/>
          <w:bCs w:val="0"/>
          <w:i w:val="0"/>
          <w:iCs w:val="0"/>
          <w:caps w:val="0"/>
          <w:color w:val="0F1115"/>
          <w:spacing w:val="0"/>
          <w:sz w:val="32"/>
          <w:szCs w:val="32"/>
          <w:shd w:val="clear" w:fill="FFFFFF"/>
        </w:rPr>
        <w:noBreakHyphen/>
      </w:r>
      <w:r>
        <w:rPr>
          <w:rStyle w:val="6"/>
          <w:rFonts w:hint="eastAsia" w:ascii="仿宋_GB2312" w:hAnsi="仿宋_GB2312" w:eastAsia="仿宋_GB2312" w:cs="仿宋_GB2312"/>
          <w:b w:val="0"/>
          <w:bCs w:val="0"/>
          <w:i w:val="0"/>
          <w:iCs w:val="0"/>
          <w:caps w:val="0"/>
          <w:color w:val="0F1115"/>
          <w:spacing w:val="0"/>
          <w:sz w:val="32"/>
          <w:szCs w:val="32"/>
          <w:shd w:val="clear" w:fill="FFFFFF"/>
        </w:rPr>
        <w:t>疾病”调控网络，结合体外与体内实验，系统验证熊果酸</w:t>
      </w:r>
      <w:r>
        <w:rPr>
          <w:rStyle w:val="6"/>
          <w:rFonts w:hint="eastAsia" w:ascii="仿宋_GB2312" w:hAnsi="仿宋_GB2312" w:eastAsia="仿宋_GB2312" w:cs="仿宋_GB2312"/>
          <w:b w:val="0"/>
          <w:bCs w:val="0"/>
          <w:i w:val="0"/>
          <w:iCs w:val="0"/>
          <w:caps w:val="0"/>
          <w:color w:val="0F1115"/>
          <w:spacing w:val="0"/>
          <w:sz w:val="32"/>
          <w:szCs w:val="32"/>
          <w:shd w:val="clear" w:fill="FFFFFF"/>
        </w:rPr>
        <w:noBreakHyphen/>
      </w:r>
      <w:r>
        <w:rPr>
          <w:rStyle w:val="6"/>
          <w:rFonts w:hint="eastAsia" w:ascii="仿宋_GB2312" w:hAnsi="仿宋_GB2312" w:eastAsia="仿宋_GB2312" w:cs="仿宋_GB2312"/>
          <w:b w:val="0"/>
          <w:bCs w:val="0"/>
          <w:i w:val="0"/>
          <w:iCs w:val="0"/>
          <w:caps w:val="0"/>
          <w:color w:val="0F1115"/>
          <w:spacing w:val="0"/>
          <w:sz w:val="32"/>
          <w:szCs w:val="32"/>
          <w:shd w:val="clear" w:fill="FFFFFF"/>
        </w:rPr>
        <w:t>FBXW7轴在抑制甲状腺癌细胞增殖、诱导凋亡中的作用，并初步评估其临床应用潜力。</w:t>
      </w:r>
    </w:p>
    <w:p w14:paraId="4004009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Style w:val="6"/>
          <w:rFonts w:hint="eastAsia" w:ascii="仿宋_GB2312" w:hAnsi="仿宋_GB2312" w:eastAsia="仿宋_GB2312" w:cs="仿宋_GB2312"/>
          <w:b/>
          <w:bCs/>
          <w:i w:val="0"/>
          <w:iCs w:val="0"/>
          <w:caps w:val="0"/>
          <w:color w:val="0F1115"/>
          <w:spacing w:val="0"/>
          <w:sz w:val="32"/>
          <w:szCs w:val="32"/>
          <w:shd w:val="clear" w:fill="FFFFFF"/>
        </w:rPr>
      </w:pPr>
      <w:r>
        <w:rPr>
          <w:rStyle w:val="6"/>
          <w:rFonts w:hint="eastAsia" w:ascii="仿宋_GB2312" w:hAnsi="仿宋_GB2312" w:eastAsia="仿宋_GB2312" w:cs="仿宋_GB2312"/>
          <w:b/>
          <w:bCs/>
          <w:i w:val="0"/>
          <w:iCs w:val="0"/>
          <w:caps w:val="0"/>
          <w:color w:val="0F1115"/>
          <w:spacing w:val="0"/>
          <w:sz w:val="32"/>
          <w:szCs w:val="32"/>
          <w:shd w:val="clear" w:fill="FFFFFF"/>
        </w:rPr>
        <w:t>三、项目考核指标（项目执行期内）</w:t>
      </w:r>
    </w:p>
    <w:p w14:paraId="40AE222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6"/>
          <w:rFonts w:hint="eastAsia" w:ascii="仿宋_GB2312" w:hAnsi="仿宋_GB2312" w:eastAsia="仿宋_GB2312" w:cs="仿宋_GB2312"/>
          <w:b w:val="0"/>
          <w:bCs w:val="0"/>
          <w:i w:val="0"/>
          <w:iCs w:val="0"/>
          <w:caps w:val="0"/>
          <w:color w:val="0F1115"/>
          <w:spacing w:val="0"/>
          <w:sz w:val="32"/>
          <w:szCs w:val="32"/>
          <w:shd w:val="clear" w:fill="FFFFFF"/>
        </w:rPr>
      </w:pPr>
      <w:r>
        <w:rPr>
          <w:rStyle w:val="6"/>
          <w:rFonts w:hint="eastAsia" w:ascii="仿宋_GB2312" w:hAnsi="仿宋_GB2312" w:eastAsia="仿宋_GB2312" w:cs="仿宋_GB2312"/>
          <w:b w:val="0"/>
          <w:bCs w:val="0"/>
          <w:i w:val="0"/>
          <w:iCs w:val="0"/>
          <w:caps w:val="0"/>
          <w:color w:val="0F1115"/>
          <w:spacing w:val="0"/>
          <w:sz w:val="32"/>
          <w:szCs w:val="32"/>
          <w:shd w:val="clear" w:fill="FFFFFF"/>
        </w:rPr>
        <w:t>（一）学术指标：发表</w:t>
      </w:r>
      <w:r>
        <w:rPr>
          <w:rStyle w:val="6"/>
          <w:rFonts w:hint="eastAsia" w:ascii="仿宋_GB2312" w:hAnsi="仿宋_GB2312" w:eastAsia="仿宋_GB2312" w:cs="仿宋_GB2312"/>
          <w:b w:val="0"/>
          <w:bCs w:val="0"/>
          <w:i w:val="0"/>
          <w:iCs w:val="0"/>
          <w:caps w:val="0"/>
          <w:color w:val="0F1115"/>
          <w:spacing w:val="0"/>
          <w:sz w:val="32"/>
          <w:szCs w:val="32"/>
          <w:shd w:val="clear" w:fill="FFFFFF"/>
          <w:lang w:val="en-US" w:eastAsia="zh-CN"/>
        </w:rPr>
        <w:t>学术</w:t>
      </w:r>
      <w:r>
        <w:rPr>
          <w:rStyle w:val="6"/>
          <w:rFonts w:hint="eastAsia" w:ascii="仿宋_GB2312" w:hAnsi="仿宋_GB2312" w:eastAsia="仿宋_GB2312" w:cs="仿宋_GB2312"/>
          <w:b w:val="0"/>
          <w:bCs w:val="0"/>
          <w:i w:val="0"/>
          <w:iCs w:val="0"/>
          <w:caps w:val="0"/>
          <w:color w:val="0F1115"/>
          <w:spacing w:val="0"/>
          <w:sz w:val="32"/>
          <w:szCs w:val="32"/>
          <w:shd w:val="clear" w:fill="FFFFFF"/>
        </w:rPr>
        <w:t>论文≥1篇；</w:t>
      </w:r>
    </w:p>
    <w:p w14:paraId="13E1CFF0">
      <w:pPr>
        <w:keepNext w:val="0"/>
        <w:keepLines w:val="0"/>
        <w:pageBreakBefore w:val="0"/>
        <w:wordWrap/>
        <w:overflowPunct/>
        <w:topLinePunct w:val="0"/>
        <w:bidi w:val="0"/>
        <w:spacing w:line="560" w:lineRule="exact"/>
        <w:ind w:right="248" w:firstLine="640" w:firstLineChars="200"/>
        <w:jc w:val="both"/>
        <w:outlineLvl w:val="0"/>
        <w:rPr>
          <w:rStyle w:val="6"/>
          <w:rFonts w:hint="eastAsia" w:ascii="仿宋_GB2312" w:hAnsi="仿宋_GB2312" w:eastAsia="仿宋_GB2312" w:cs="仿宋_GB2312"/>
          <w:b w:val="0"/>
          <w:bCs w:val="0"/>
          <w:i w:val="0"/>
          <w:iCs w:val="0"/>
          <w:caps w:val="0"/>
          <w:color w:val="0F1115"/>
          <w:spacing w:val="0"/>
          <w:sz w:val="32"/>
          <w:szCs w:val="32"/>
          <w:shd w:val="clear" w:fill="FFFFFF"/>
        </w:rPr>
      </w:pPr>
      <w:r>
        <w:rPr>
          <w:rStyle w:val="6"/>
          <w:rFonts w:hint="eastAsia" w:ascii="仿宋_GB2312" w:hAnsi="仿宋_GB2312" w:eastAsia="仿宋_GB2312" w:cs="仿宋_GB2312"/>
          <w:b w:val="0"/>
          <w:bCs w:val="0"/>
          <w:i w:val="0"/>
          <w:iCs w:val="0"/>
          <w:caps w:val="0"/>
          <w:color w:val="0F1115"/>
          <w:spacing w:val="0"/>
          <w:sz w:val="32"/>
          <w:szCs w:val="32"/>
          <w:shd w:val="clear" w:fill="FFFFFF"/>
        </w:rPr>
        <w:t>（二）技术指标：构建熊果酸抗甲状腺癌的网络药理学预测模型；通过细胞与动物实验验证FBXW7在熊果酸作用下的表达与功能变化</w:t>
      </w:r>
      <w:r>
        <w:rPr>
          <w:rStyle w:val="6"/>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Fonts w:hint="eastAsia" w:ascii="仿宋_GB2312" w:hAnsi="仿宋_GB2312" w:eastAsia="仿宋_GB2312" w:cs="仿宋_GB2312"/>
          <w:bCs/>
          <w:spacing w:val="8"/>
          <w:sz w:val="32"/>
          <w:szCs w:val="32"/>
          <w:lang w:val="en-US" w:eastAsia="zh-CN"/>
        </w:rPr>
        <w:t>并</w:t>
      </w:r>
      <w:r>
        <w:rPr>
          <w:rFonts w:hint="eastAsia" w:ascii="仿宋_GB2312" w:hAnsi="仿宋_GB2312" w:eastAsia="仿宋_GB2312" w:cs="仿宋_GB2312"/>
          <w:bCs/>
          <w:spacing w:val="8"/>
          <w:sz w:val="32"/>
          <w:szCs w:val="32"/>
          <w:lang w:eastAsia="zh-CN"/>
        </w:rPr>
        <w:t>形成</w:t>
      </w:r>
      <w:r>
        <w:rPr>
          <w:rFonts w:hint="eastAsia" w:ascii="仿宋_GB2312" w:hAnsi="仿宋_GB2312" w:eastAsia="仿宋_GB2312" w:cs="仿宋_GB2312"/>
          <w:bCs/>
          <w:spacing w:val="8"/>
          <w:sz w:val="32"/>
          <w:szCs w:val="32"/>
          <w:lang w:val="en-US" w:eastAsia="zh-CN"/>
        </w:rPr>
        <w:t>≥</w:t>
      </w:r>
      <w:r>
        <w:rPr>
          <w:rFonts w:hint="eastAsia" w:ascii="仿宋_GB2312" w:hAnsi="仿宋_GB2312" w:eastAsia="仿宋_GB2312" w:cs="仿宋_GB2312"/>
          <w:bCs/>
          <w:spacing w:val="8"/>
          <w:sz w:val="32"/>
          <w:szCs w:val="32"/>
          <w:lang w:eastAsia="zh-CN"/>
        </w:rPr>
        <w:t>1份项目结题分析报告。</w:t>
      </w:r>
    </w:p>
    <w:p w14:paraId="794523C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Style w:val="6"/>
          <w:rFonts w:hint="eastAsia" w:ascii="仿宋_GB2312" w:hAnsi="仿宋_GB2312" w:eastAsia="仿宋_GB2312" w:cs="仿宋_GB2312"/>
          <w:b w:val="0"/>
          <w:bCs w:val="0"/>
          <w:i w:val="0"/>
          <w:iCs w:val="0"/>
          <w:caps w:val="0"/>
          <w:color w:val="0F1115"/>
          <w:spacing w:val="0"/>
          <w:sz w:val="32"/>
          <w:szCs w:val="32"/>
          <w:shd w:val="clear" w:fill="FFFFFF"/>
        </w:rPr>
      </w:pPr>
      <w:r>
        <w:rPr>
          <w:rStyle w:val="6"/>
          <w:rFonts w:hint="eastAsia" w:ascii="仿宋_GB2312" w:hAnsi="仿宋_GB2312" w:eastAsia="仿宋_GB2312" w:cs="仿宋_GB2312"/>
          <w:b/>
          <w:bCs/>
          <w:i w:val="0"/>
          <w:iCs w:val="0"/>
          <w:caps w:val="0"/>
          <w:color w:val="0F1115"/>
          <w:spacing w:val="0"/>
          <w:sz w:val="32"/>
          <w:szCs w:val="32"/>
          <w:shd w:val="clear" w:fill="FFFFFF"/>
        </w:rPr>
        <w:t>四、项目实施年限：</w:t>
      </w:r>
      <w:r>
        <w:rPr>
          <w:rStyle w:val="6"/>
          <w:rFonts w:hint="eastAsia" w:ascii="仿宋_GB2312" w:hAnsi="仿宋_GB2312" w:eastAsia="仿宋_GB2312" w:cs="仿宋_GB2312"/>
          <w:b w:val="0"/>
          <w:bCs w:val="0"/>
          <w:i w:val="0"/>
          <w:iCs w:val="0"/>
          <w:caps w:val="0"/>
          <w:color w:val="0F1115"/>
          <w:spacing w:val="0"/>
          <w:sz w:val="32"/>
          <w:szCs w:val="32"/>
          <w:shd w:val="clear" w:fill="FFFFFF"/>
        </w:rPr>
        <w:t>不超过2年</w:t>
      </w:r>
    </w:p>
    <w:p w14:paraId="5D7B9A6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Style w:val="6"/>
          <w:rFonts w:hint="eastAsia" w:ascii="仿宋_GB2312" w:hAnsi="仿宋_GB2312" w:eastAsia="仿宋_GB2312" w:cs="仿宋_GB2312"/>
          <w:b w:val="0"/>
          <w:bCs w:val="0"/>
          <w:i w:val="0"/>
          <w:iCs w:val="0"/>
          <w:caps w:val="0"/>
          <w:color w:val="0F1115"/>
          <w:spacing w:val="0"/>
          <w:sz w:val="32"/>
          <w:szCs w:val="32"/>
          <w:shd w:val="clear" w:fill="FFFFFF"/>
        </w:rPr>
      </w:pPr>
      <w:r>
        <w:rPr>
          <w:rStyle w:val="6"/>
          <w:rFonts w:hint="eastAsia" w:ascii="仿宋_GB2312" w:hAnsi="仿宋_GB2312" w:eastAsia="仿宋_GB2312" w:cs="仿宋_GB2312"/>
          <w:b/>
          <w:bCs/>
          <w:i w:val="0"/>
          <w:iCs w:val="0"/>
          <w:caps w:val="0"/>
          <w:color w:val="0F1115"/>
          <w:spacing w:val="0"/>
          <w:sz w:val="32"/>
          <w:szCs w:val="32"/>
          <w:shd w:val="clear" w:fill="FFFFFF"/>
        </w:rPr>
        <w:t>五、资助金额：</w:t>
      </w:r>
      <w:r>
        <w:rPr>
          <w:rStyle w:val="6"/>
          <w:rFonts w:hint="eastAsia" w:ascii="仿宋_GB2312" w:hAnsi="仿宋_GB2312" w:eastAsia="仿宋_GB2312" w:cs="仿宋_GB2312"/>
          <w:b w:val="0"/>
          <w:bCs w:val="0"/>
          <w:i w:val="0"/>
          <w:iCs w:val="0"/>
          <w:caps w:val="0"/>
          <w:color w:val="0F1115"/>
          <w:spacing w:val="0"/>
          <w:sz w:val="32"/>
          <w:szCs w:val="32"/>
          <w:shd w:val="clear" w:fill="FFFFFF"/>
        </w:rPr>
        <w:t>不超过10万元</w:t>
      </w:r>
    </w:p>
    <w:p w14:paraId="0AAD35C4">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7E902835">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3BBB272B">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22687EB2">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544D086D">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37BD3594">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75C798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12005 </w:t>
      </w:r>
      <w:r>
        <w:rPr>
          <w:rFonts w:hint="eastAsia" w:ascii="黑体" w:hAnsi="黑体" w:eastAsia="黑体" w:cs="黑体"/>
          <w:b/>
          <w:bCs/>
          <w:sz w:val="32"/>
          <w:szCs w:val="32"/>
        </w:rPr>
        <w:t>不同甲状腺自身抗体检测</w:t>
      </w:r>
      <w:r>
        <w:rPr>
          <w:rFonts w:hint="eastAsia" w:ascii="黑体" w:hAnsi="黑体" w:eastAsia="黑体" w:cs="黑体"/>
          <w:b/>
          <w:bCs/>
          <w:sz w:val="32"/>
          <w:szCs w:val="32"/>
          <w:lang w:val="en-US" w:eastAsia="zh-CN"/>
        </w:rPr>
        <w:t>试剂盒</w:t>
      </w:r>
      <w:r>
        <w:rPr>
          <w:rFonts w:hint="eastAsia" w:ascii="黑体" w:hAnsi="黑体" w:eastAsia="黑体" w:cs="黑体"/>
          <w:b/>
          <w:bCs/>
          <w:sz w:val="32"/>
          <w:szCs w:val="32"/>
        </w:rPr>
        <w:t>对甲状腺疾病的诊断效能分析研究</w:t>
      </w:r>
    </w:p>
    <w:p w14:paraId="64DB7D7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rPr>
        <w:t>领域：</w:t>
      </w:r>
      <w:r>
        <w:rPr>
          <w:rFonts w:hint="eastAsia" w:ascii="仿宋_GB2312" w:hAnsi="仿宋_GB2312" w:eastAsia="仿宋_GB2312" w:cs="仿宋_GB2312"/>
          <w:sz w:val="32"/>
          <w:szCs w:val="32"/>
        </w:rPr>
        <w:t>自身免疫性甲状腺疾病实验室诊断</w:t>
      </w:r>
    </w:p>
    <w:p w14:paraId="5369997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rPr>
        <w:t>主要研发内容</w:t>
      </w:r>
    </w:p>
    <w:p w14:paraId="15317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（一）基于临床主流应用的三种甲状腺自身抗体（抗甲状腺球蛋白抗体Anti-Tg、抗甲状腺过氧化物酶抗体ATPO、促甲状腺激素受体抗体TRAb）检测试剂盒，进行方法学比对、诊断一致性、诊断灵敏度及特异性研究</w:t>
      </w:r>
      <w:r>
        <w:rPr>
          <w:rFonts w:hint="eastAsia" w:ascii="仿宋_GB2312" w:hAnsi="仿宋_GB2312" w:eastAsia="仿宋_GB2312" w:cs="仿宋_GB2312"/>
          <w:sz w:val="32"/>
          <w:szCs w:val="32"/>
          <w:lang w:eastAsia="zh-CN"/>
        </w:rPr>
        <w:t>；</w:t>
      </w:r>
    </w:p>
    <w:p w14:paraId="26901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（二）该研究旨在系统性评估不同检测平台（如化学发光法、电化学发光法等）在上述抗体检测中的性能差异。研究将覆盖广泛的甲状腺疾病</w:t>
      </w:r>
      <w:r>
        <w:rPr>
          <w:rFonts w:hint="eastAsia" w:ascii="仿宋_GB2312" w:hAnsi="仿宋_GB2312" w:eastAsia="仿宋_GB2312" w:cs="仿宋_GB2312"/>
          <w:sz w:val="32"/>
          <w:szCs w:val="32"/>
          <w:lang w:val="en-US" w:eastAsia="zh-CN"/>
        </w:rPr>
        <w:t>及相关疾病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包括自身免疫性甲状腺病、甲状腺结节、甲状腺肿瘤等，以及非甲状腺相关的自身免疫性疾病患者。</w:t>
      </w:r>
    </w:p>
    <w:p w14:paraId="00AFD2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416A0564">
      <w:pPr>
        <w:pStyle w:val="2"/>
        <w:keepNext w:val="0"/>
        <w:keepLines w:val="0"/>
        <w:pageBreakBefore w:val="0"/>
        <w:wordWrap/>
        <w:overflowPunct/>
        <w:topLinePunct w:val="0"/>
        <w:bidi w:val="0"/>
        <w:spacing w:line="560" w:lineRule="exact"/>
        <w:ind w:right="19" w:firstLine="504" w:firstLineChars="15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（一）学术指标：发表</w:t>
      </w:r>
      <w:r>
        <w:rPr>
          <w:rFonts w:hint="eastAsia" w:ascii="仿宋_GB2312" w:hAnsi="仿宋_GB2312" w:eastAsia="仿宋_GB2312" w:cs="仿宋_GB2312"/>
          <w:spacing w:val="8"/>
          <w:sz w:val="32"/>
          <w:szCs w:val="32"/>
          <w:highlight w:val="none"/>
          <w:lang w:val="en-US" w:eastAsia="zh-CN"/>
        </w:rPr>
        <w:t>学术</w:t>
      </w:r>
      <w:r>
        <w:rPr>
          <w:rFonts w:hint="eastAsia" w:ascii="仿宋_GB2312" w:hAnsi="仿宋_GB2312" w:eastAsia="仿宋_GB2312" w:cs="仿宋_GB2312"/>
          <w:spacing w:val="8"/>
          <w:sz w:val="32"/>
          <w:szCs w:val="32"/>
          <w:highlight w:val="none"/>
          <w:lang w:eastAsia="zh-CN"/>
        </w:rPr>
        <w:t>论文≥1篇；</w:t>
      </w:r>
    </w:p>
    <w:p w14:paraId="3D2FBA87">
      <w:pPr>
        <w:pStyle w:val="2"/>
        <w:keepNext w:val="0"/>
        <w:keepLines w:val="0"/>
        <w:pageBreakBefore w:val="0"/>
        <w:wordWrap/>
        <w:overflowPunct/>
        <w:topLinePunct w:val="0"/>
        <w:bidi w:val="0"/>
        <w:spacing w:line="560" w:lineRule="exact"/>
        <w:ind w:right="19" w:firstLine="504" w:firstLineChars="150"/>
        <w:jc w:val="both"/>
        <w:rPr>
          <w:rFonts w:hint="eastAsia" w:ascii="仿宋_GB2312" w:hAnsi="仿宋_GB2312" w:eastAsia="仿宋_GB2312" w:cs="仿宋_GB2312"/>
          <w:b/>
          <w:bCs/>
          <w:sz w:val="32"/>
          <w:szCs w:val="32"/>
        </w:rPr>
      </w:pPr>
      <w:r>
        <w:rPr>
          <w:rFonts w:hint="eastAsia" w:ascii="仿宋_GB2312" w:hAnsi="仿宋_GB2312" w:eastAsia="仿宋_GB2312" w:cs="仿宋_GB2312"/>
          <w:spacing w:val="8"/>
          <w:sz w:val="32"/>
          <w:szCs w:val="32"/>
          <w:highlight w:val="none"/>
          <w:lang w:eastAsia="zh-CN"/>
        </w:rPr>
        <w:t>（二）技术指标：</w:t>
      </w:r>
    </w:p>
    <w:p w14:paraId="741D1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1.完成</w:t>
      </w:r>
      <w:r>
        <w:rPr>
          <w:rFonts w:hint="eastAsia" w:ascii="仿宋_GB2312" w:hAnsi="仿宋_GB2312" w:eastAsia="仿宋_GB2312" w:cs="仿宋_GB2312"/>
          <w:b w:val="0"/>
          <w:bCs w:val="0"/>
          <w:sz w:val="32"/>
          <w:szCs w:val="32"/>
          <w:lang w:val="en-US" w:eastAsia="zh-CN"/>
        </w:rPr>
        <w:t>≥600</w:t>
      </w:r>
      <w:r>
        <w:rPr>
          <w:rFonts w:hint="eastAsia" w:ascii="仿宋_GB2312" w:hAnsi="仿宋_GB2312" w:eastAsia="仿宋_GB2312" w:cs="仿宋_GB2312"/>
          <w:b w:val="0"/>
          <w:bCs w:val="0"/>
          <w:sz w:val="32"/>
          <w:szCs w:val="32"/>
        </w:rPr>
        <w:t>例的临床血清样本收集，并利用至少三种不同主流检测平台对每份样本进行Anti-Tg、ATPO、TRAb的检测</w:t>
      </w:r>
      <w:r>
        <w:rPr>
          <w:rFonts w:hint="eastAsia" w:ascii="仿宋_GB2312" w:hAnsi="仿宋_GB2312" w:eastAsia="仿宋_GB2312" w:cs="仿宋_GB2312"/>
          <w:b w:val="0"/>
          <w:bCs w:val="0"/>
          <w:sz w:val="32"/>
          <w:szCs w:val="32"/>
          <w:lang w:eastAsia="zh-CN"/>
        </w:rPr>
        <w:t>；</w:t>
      </w:r>
    </w:p>
    <w:p w14:paraId="1B6DD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2.对三种抗体在不同平台上的检测结果进行统计学分析，包括一致性分析（如Kappa值）、相关性分析、受试者工作特征曲线分析等，生成</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sz w:val="32"/>
          <w:szCs w:val="32"/>
        </w:rPr>
        <w:t>全面的诊断效能评估报告。该报告应明确各平台在诊断特定甲状腺疾病时的优势与局限性。</w:t>
      </w:r>
    </w:p>
    <w:p w14:paraId="5EFB58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四、项目实施年限：</w:t>
      </w:r>
      <w:r>
        <w:rPr>
          <w:rFonts w:hint="eastAsia" w:ascii="仿宋_GB2312" w:hAnsi="仿宋_GB2312" w:eastAsia="仿宋_GB2312" w:cs="仿宋_GB2312"/>
          <w:b w:val="0"/>
          <w:bCs w:val="0"/>
          <w:sz w:val="32"/>
          <w:szCs w:val="32"/>
          <w:lang w:val="en-US" w:eastAsia="zh-CN"/>
        </w:rPr>
        <w:t>不超过1</w:t>
      </w:r>
      <w:r>
        <w:rPr>
          <w:rFonts w:hint="eastAsia" w:ascii="仿宋_GB2312" w:hAnsi="仿宋_GB2312" w:eastAsia="仿宋_GB2312" w:cs="仿宋_GB2312"/>
          <w:b w:val="0"/>
          <w:bCs w:val="0"/>
          <w:sz w:val="32"/>
          <w:szCs w:val="32"/>
        </w:rPr>
        <w:t>年</w:t>
      </w:r>
    </w:p>
    <w:p w14:paraId="6B79CF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五、资助金额：</w:t>
      </w:r>
      <w:r>
        <w:rPr>
          <w:rFonts w:hint="eastAsia" w:ascii="仿宋_GB2312" w:hAnsi="仿宋_GB2312" w:eastAsia="仿宋_GB2312" w:cs="仿宋_GB2312"/>
          <w:sz w:val="32"/>
          <w:szCs w:val="32"/>
        </w:rPr>
        <w:t>不超过10万元</w:t>
      </w:r>
    </w:p>
    <w:p w14:paraId="12E85C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8B947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CF591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289AA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A2D2E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4564F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60091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3EB45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DB4BE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00A83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94C80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39909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3D5231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076743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263CE6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2949F7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79973F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5195A3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2B06A8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76AA10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2CA0A5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pacing w:val="8"/>
          <w:sz w:val="32"/>
          <w:szCs w:val="32"/>
          <w:highlight w:val="none"/>
          <w:lang w:val="en-US" w:eastAsia="zh-CN"/>
        </w:rPr>
      </w:pPr>
    </w:p>
    <w:p w14:paraId="201F54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pacing w:val="8"/>
          <w:sz w:val="32"/>
          <w:szCs w:val="32"/>
          <w:highlight w:val="none"/>
          <w:lang w:val="en-US" w:eastAsia="zh-CN"/>
        </w:rPr>
      </w:pPr>
    </w:p>
    <w:p w14:paraId="2881FD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12006 </w:t>
      </w:r>
      <w:r>
        <w:rPr>
          <w:rFonts w:hint="eastAsia" w:ascii="黑体" w:hAnsi="黑体" w:eastAsia="黑体" w:cs="黑体"/>
          <w:b/>
          <w:bCs/>
          <w:sz w:val="32"/>
          <w:szCs w:val="32"/>
        </w:rPr>
        <w:t>肽聚糖回收酶Mpl在鲍曼不动杆菌细胞壁靶向调控及抗生素增敏中的作用研究</w:t>
      </w:r>
    </w:p>
    <w:p w14:paraId="48D72A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领域：</w:t>
      </w:r>
      <w:r>
        <w:rPr>
          <w:rFonts w:hint="eastAsia" w:ascii="仿宋_GB2312" w:hAnsi="仿宋_GB2312" w:eastAsia="仿宋_GB2312" w:cs="仿宋_GB2312"/>
          <w:sz w:val="32"/>
          <w:szCs w:val="32"/>
        </w:rPr>
        <w:t>微生物感染、抗生素耐药机制</w:t>
      </w:r>
    </w:p>
    <w:p w14:paraId="255E9B53">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主要研究内容</w:t>
      </w:r>
    </w:p>
    <w:p w14:paraId="7DE87AD1">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阐明肽聚糖回收酶Mpl在鲍曼不动杆菌中对细胞壁稳态维持和抗生素耐受形成中的作用机制</w:t>
      </w:r>
      <w:r>
        <w:rPr>
          <w:rFonts w:hint="eastAsia" w:ascii="仿宋_GB2312" w:hAnsi="仿宋_GB2312" w:eastAsia="仿宋_GB2312" w:cs="仿宋_GB2312"/>
          <w:sz w:val="32"/>
          <w:szCs w:val="32"/>
          <w:lang w:eastAsia="zh-CN"/>
        </w:rPr>
        <w:t>；</w:t>
      </w:r>
    </w:p>
    <w:p w14:paraId="75FD80B1">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该研究可采用多种临床分离的耐药菌株</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利用动物感染模型</w:t>
      </w:r>
      <w:r>
        <w:rPr>
          <w:rFonts w:hint="eastAsia" w:ascii="仿宋_GB2312" w:hAnsi="仿宋_GB2312" w:eastAsia="仿宋_GB2312" w:cs="仿宋_GB2312"/>
          <w:sz w:val="32"/>
          <w:szCs w:val="32"/>
          <w:lang w:eastAsia="zh-CN"/>
        </w:rPr>
        <w:t>进行验证</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eastAsia="zh-CN"/>
        </w:rPr>
        <w:t>。</w:t>
      </w:r>
    </w:p>
    <w:p w14:paraId="6FEAC6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45DA8F01">
      <w:pPr>
        <w:pStyle w:val="2"/>
        <w:keepNext w:val="0"/>
        <w:keepLines w:val="0"/>
        <w:pageBreakBefore w:val="0"/>
        <w:wordWrap/>
        <w:overflowPunct/>
        <w:topLinePunct w:val="0"/>
        <w:bidi w:val="0"/>
        <w:spacing w:line="560" w:lineRule="exact"/>
        <w:ind w:right="19" w:firstLine="504" w:firstLineChars="15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（一）学术指标：发表</w:t>
      </w:r>
      <w:r>
        <w:rPr>
          <w:rFonts w:hint="eastAsia" w:ascii="仿宋_GB2312" w:hAnsi="仿宋_GB2312" w:eastAsia="仿宋_GB2312" w:cs="仿宋_GB2312"/>
          <w:spacing w:val="8"/>
          <w:sz w:val="32"/>
          <w:szCs w:val="32"/>
          <w:highlight w:val="none"/>
          <w:lang w:val="en-US" w:eastAsia="zh-CN"/>
        </w:rPr>
        <w:t>学术</w:t>
      </w:r>
      <w:r>
        <w:rPr>
          <w:rFonts w:hint="eastAsia" w:ascii="仿宋_GB2312" w:hAnsi="仿宋_GB2312" w:eastAsia="仿宋_GB2312" w:cs="仿宋_GB2312"/>
          <w:spacing w:val="8"/>
          <w:sz w:val="32"/>
          <w:szCs w:val="32"/>
          <w:highlight w:val="none"/>
          <w:lang w:eastAsia="zh-CN"/>
        </w:rPr>
        <w:t>论文≥1篇；</w:t>
      </w:r>
    </w:p>
    <w:p w14:paraId="1B1A088D">
      <w:pPr>
        <w:pStyle w:val="2"/>
        <w:keepNext w:val="0"/>
        <w:keepLines w:val="0"/>
        <w:pageBreakBefore w:val="0"/>
        <w:numPr>
          <w:ilvl w:val="0"/>
          <w:numId w:val="0"/>
        </w:numPr>
        <w:wordWrap/>
        <w:overflowPunct/>
        <w:topLinePunct w:val="0"/>
        <w:bidi w:val="0"/>
        <w:spacing w:line="560" w:lineRule="exact"/>
        <w:ind w:right="19" w:rightChars="0"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z w:val="32"/>
          <w:szCs w:val="32"/>
          <w:lang w:val="en-US" w:eastAsia="en-US" w:bidi="ar-SA"/>
        </w:rPr>
        <w:t>（二）</w:t>
      </w:r>
      <w:r>
        <w:rPr>
          <w:rFonts w:hint="eastAsia" w:ascii="仿宋_GB2312" w:hAnsi="仿宋_GB2312" w:eastAsia="仿宋_GB2312" w:cs="仿宋_GB2312"/>
          <w:spacing w:val="8"/>
          <w:sz w:val="32"/>
          <w:szCs w:val="32"/>
          <w:highlight w:val="none"/>
          <w:lang w:eastAsia="zh-CN"/>
        </w:rPr>
        <w:t>技术指标：</w:t>
      </w:r>
    </w:p>
    <w:p w14:paraId="294A11FF">
      <w:pPr>
        <w:pStyle w:val="2"/>
        <w:keepNext w:val="0"/>
        <w:keepLines w:val="0"/>
        <w:pageBreakBefore w:val="0"/>
        <w:numPr>
          <w:ilvl w:val="0"/>
          <w:numId w:val="0"/>
        </w:numPr>
        <w:wordWrap/>
        <w:overflowPunct/>
        <w:topLinePunct w:val="0"/>
        <w:bidi w:val="0"/>
        <w:spacing w:line="560" w:lineRule="exact"/>
        <w:ind w:right="19" w:righ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完成Mpl缺失株与恢复株的构建及表型验证</w:t>
      </w:r>
      <w:r>
        <w:rPr>
          <w:rFonts w:hint="eastAsia" w:ascii="仿宋_GB2312" w:hAnsi="仿宋_GB2312" w:eastAsia="仿宋_GB2312" w:cs="仿宋_GB2312"/>
          <w:sz w:val="32"/>
          <w:szCs w:val="32"/>
          <w:lang w:eastAsia="zh-CN"/>
        </w:rPr>
        <w:t>；</w:t>
      </w:r>
    </w:p>
    <w:p w14:paraId="7A3BDD0D">
      <w:pPr>
        <w:pStyle w:val="2"/>
        <w:keepNext w:val="0"/>
        <w:keepLines w:val="0"/>
        <w:pageBreakBefore w:val="0"/>
        <w:numPr>
          <w:ilvl w:val="0"/>
          <w:numId w:val="0"/>
        </w:numPr>
        <w:wordWrap/>
        <w:overflowPunct/>
        <w:topLinePunct w:val="0"/>
        <w:bidi w:val="0"/>
        <w:spacing w:line="560" w:lineRule="exact"/>
        <w:ind w:right="19" w:righ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10株临床分离的耐药鲍曼不动杆菌中完成Mpl表达及耐药性分析，形成</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sz w:val="32"/>
          <w:szCs w:val="32"/>
        </w:rPr>
        <w:t>系统的Mpl功能与耐药机制评估报告。</w:t>
      </w:r>
    </w:p>
    <w:p w14:paraId="30C31DB3">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项目实施年限：</w:t>
      </w:r>
      <w:r>
        <w:rPr>
          <w:rFonts w:hint="eastAsia" w:ascii="仿宋_GB2312" w:hAnsi="仿宋_GB2312" w:eastAsia="仿宋_GB2312" w:cs="仿宋_GB2312"/>
          <w:b w:val="0"/>
          <w:bCs w:val="0"/>
          <w:sz w:val="32"/>
          <w:szCs w:val="32"/>
          <w:lang w:val="en-US" w:eastAsia="zh-CN"/>
        </w:rPr>
        <w:t>不超过</w:t>
      </w:r>
      <w:r>
        <w:rPr>
          <w:rFonts w:hint="eastAsia" w:ascii="仿宋_GB2312" w:hAnsi="仿宋_GB2312" w:eastAsia="仿宋_GB2312" w:cs="仿宋_GB2312"/>
          <w:b w:val="0"/>
          <w:bCs w:val="0"/>
          <w:sz w:val="32"/>
          <w:szCs w:val="32"/>
        </w:rPr>
        <w:t>2年</w:t>
      </w:r>
    </w:p>
    <w:p w14:paraId="6C189A2B">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资助金额：</w:t>
      </w:r>
      <w:r>
        <w:rPr>
          <w:rFonts w:hint="eastAsia" w:ascii="仿宋_GB2312" w:hAnsi="仿宋_GB2312" w:eastAsia="仿宋_GB2312" w:cs="仿宋_GB2312"/>
          <w:sz w:val="32"/>
          <w:szCs w:val="32"/>
        </w:rPr>
        <w:t>不超过10万元</w:t>
      </w:r>
    </w:p>
    <w:p w14:paraId="293CBD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11825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A722F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C511FF3">
      <w:pPr>
        <w:pStyle w:val="2"/>
        <w:keepNext w:val="0"/>
        <w:keepLines w:val="0"/>
        <w:pageBreakBefore w:val="0"/>
        <w:wordWrap/>
        <w:overflowPunct/>
        <w:topLinePunct w:val="0"/>
        <w:bidi w:val="0"/>
        <w:spacing w:line="560" w:lineRule="exact"/>
        <w:ind w:right="19"/>
        <w:jc w:val="left"/>
        <w:rPr>
          <w:rFonts w:hint="eastAsia" w:ascii="仿宋_GB2312" w:hAnsi="仿宋_GB2312" w:eastAsia="仿宋_GB2312" w:cs="仿宋_GB2312"/>
          <w:b/>
          <w:bCs/>
          <w:spacing w:val="8"/>
          <w:sz w:val="32"/>
          <w:szCs w:val="32"/>
          <w:lang w:val="en-US" w:eastAsia="zh-CN"/>
        </w:rPr>
      </w:pPr>
    </w:p>
    <w:p w14:paraId="48A8D2B5">
      <w:pPr>
        <w:pStyle w:val="2"/>
        <w:keepNext w:val="0"/>
        <w:keepLines w:val="0"/>
        <w:pageBreakBefore w:val="0"/>
        <w:wordWrap/>
        <w:overflowPunct/>
        <w:topLinePunct w:val="0"/>
        <w:bidi w:val="0"/>
        <w:spacing w:line="560" w:lineRule="exact"/>
        <w:ind w:right="19"/>
        <w:jc w:val="left"/>
        <w:rPr>
          <w:rFonts w:hint="eastAsia" w:ascii="黑体" w:hAnsi="黑体" w:eastAsia="黑体" w:cs="黑体"/>
          <w:b/>
          <w:bCs/>
          <w:spacing w:val="8"/>
          <w:sz w:val="32"/>
          <w:szCs w:val="32"/>
          <w:highlight w:val="none"/>
          <w:lang w:val="en-US" w:eastAsia="zh-CN"/>
        </w:rPr>
      </w:pPr>
    </w:p>
    <w:p w14:paraId="0579053C">
      <w:pPr>
        <w:pStyle w:val="2"/>
        <w:keepNext w:val="0"/>
        <w:keepLines w:val="0"/>
        <w:pageBreakBefore w:val="0"/>
        <w:wordWrap/>
        <w:overflowPunct/>
        <w:topLinePunct w:val="0"/>
        <w:bidi w:val="0"/>
        <w:spacing w:line="560" w:lineRule="exact"/>
        <w:ind w:right="19"/>
        <w:jc w:val="center"/>
        <w:rPr>
          <w:rFonts w:hint="eastAsia" w:ascii="黑体" w:hAnsi="黑体" w:eastAsia="黑体" w:cs="黑体"/>
          <w:b/>
          <w:bCs/>
          <w:spacing w:val="8"/>
          <w:sz w:val="32"/>
          <w:szCs w:val="32"/>
          <w:highlight w:val="none"/>
          <w:lang w:val="en-US" w:eastAsia="zh-CN"/>
        </w:rPr>
      </w:pPr>
    </w:p>
    <w:p w14:paraId="528C222D">
      <w:pPr>
        <w:pStyle w:val="2"/>
        <w:keepNext w:val="0"/>
        <w:keepLines w:val="0"/>
        <w:pageBreakBefore w:val="0"/>
        <w:wordWrap/>
        <w:overflowPunct/>
        <w:topLinePunct w:val="0"/>
        <w:bidi w:val="0"/>
        <w:spacing w:line="560" w:lineRule="exact"/>
        <w:ind w:right="19"/>
        <w:jc w:val="center"/>
        <w:rPr>
          <w:rFonts w:hint="eastAsia" w:ascii="仿宋_GB2312" w:hAnsi="仿宋_GB2312" w:eastAsia="仿宋_GB2312" w:cs="仿宋_GB2312"/>
          <w:b w:val="0"/>
          <w:bCs w:val="0"/>
          <w:spacing w:val="8"/>
          <w:sz w:val="32"/>
          <w:szCs w:val="32"/>
          <w:lang w:eastAsia="zh-CN"/>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12007 </w:t>
      </w:r>
      <w:r>
        <w:rPr>
          <w:rFonts w:hint="eastAsia" w:ascii="黑体" w:hAnsi="黑体" w:eastAsia="黑体" w:cs="黑体"/>
          <w:b/>
          <w:bCs/>
          <w:spacing w:val="8"/>
          <w:sz w:val="32"/>
          <w:szCs w:val="32"/>
          <w:lang w:val="en-US" w:eastAsia="zh-CN"/>
        </w:rPr>
        <w:t>基于大语言模型的血细胞分析智能体构建与验证多中心研究</w:t>
      </w:r>
    </w:p>
    <w:p w14:paraId="6226C2C1">
      <w:pPr>
        <w:pStyle w:val="2"/>
        <w:keepNext w:val="0"/>
        <w:keepLines w:val="0"/>
        <w:pageBreakBefore w:val="0"/>
        <w:numPr>
          <w:ilvl w:val="0"/>
          <w:numId w:val="1"/>
        </w:numPr>
        <w:wordWrap/>
        <w:overflowPunct/>
        <w:topLinePunct w:val="0"/>
        <w:bidi w:val="0"/>
        <w:spacing w:line="560" w:lineRule="exact"/>
        <w:ind w:right="19"/>
        <w:jc w:val="left"/>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bCs/>
          <w:spacing w:val="8"/>
          <w:sz w:val="32"/>
          <w:szCs w:val="32"/>
          <w:lang w:eastAsia="zh-CN"/>
        </w:rPr>
        <w:t>领域：</w:t>
      </w:r>
      <w:r>
        <w:rPr>
          <w:rFonts w:hint="eastAsia" w:ascii="仿宋_GB2312" w:hAnsi="仿宋_GB2312" w:eastAsia="仿宋_GB2312" w:cs="仿宋_GB2312"/>
          <w:b w:val="0"/>
          <w:bCs w:val="0"/>
          <w:spacing w:val="8"/>
          <w:sz w:val="32"/>
          <w:szCs w:val="32"/>
          <w:lang w:val="en-US" w:eastAsia="zh-CN"/>
        </w:rPr>
        <w:t>大语言模型、血细胞分析、智能体</w:t>
      </w:r>
    </w:p>
    <w:p w14:paraId="11C6E795">
      <w:pPr>
        <w:pStyle w:val="2"/>
        <w:keepNext w:val="0"/>
        <w:keepLines w:val="0"/>
        <w:pageBreakBefore w:val="0"/>
        <w:numPr>
          <w:ilvl w:val="0"/>
          <w:numId w:val="1"/>
        </w:numPr>
        <w:wordWrap/>
        <w:overflowPunct/>
        <w:topLinePunct w:val="0"/>
        <w:bidi w:val="0"/>
        <w:spacing w:line="560" w:lineRule="exact"/>
        <w:ind w:right="19"/>
        <w:jc w:val="left"/>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主要研究内容</w:t>
      </w:r>
    </w:p>
    <w:p w14:paraId="512BB592">
      <w:pPr>
        <w:pStyle w:val="2"/>
        <w:keepNext w:val="0"/>
        <w:keepLines w:val="0"/>
        <w:pageBreakBefore w:val="0"/>
        <w:numPr>
          <w:ilvl w:val="0"/>
          <w:numId w:val="2"/>
        </w:numPr>
        <w:wordWrap/>
        <w:overflowPunct/>
        <w:topLinePunct w:val="0"/>
        <w:bidi w:val="0"/>
        <w:spacing w:line="560" w:lineRule="exact"/>
        <w:ind w:right="19" w:firstLine="672" w:firstLineChars="200"/>
        <w:jc w:val="left"/>
        <w:rPr>
          <w:rFonts w:hint="eastAsia" w:ascii="仿宋_GB2312" w:hAnsi="仿宋_GB2312" w:eastAsia="仿宋_GB2312" w:cs="仿宋_GB2312"/>
          <w:b w:val="0"/>
          <w:bCs w:val="0"/>
          <w:snapToGrid w:val="0"/>
          <w:color w:val="000000"/>
          <w:spacing w:val="8"/>
          <w:sz w:val="32"/>
          <w:szCs w:val="32"/>
          <w:lang w:val="en-US" w:eastAsia="zh-CN" w:bidi="ar-SA"/>
        </w:rPr>
      </w:pPr>
      <w:r>
        <w:rPr>
          <w:rFonts w:hint="eastAsia" w:ascii="仿宋_GB2312" w:hAnsi="仿宋_GB2312" w:eastAsia="仿宋_GB2312" w:cs="仿宋_GB2312"/>
          <w:b w:val="0"/>
          <w:bCs w:val="0"/>
          <w:snapToGrid w:val="0"/>
          <w:color w:val="000000"/>
          <w:spacing w:val="8"/>
          <w:sz w:val="32"/>
          <w:szCs w:val="32"/>
          <w:lang w:val="en-US" w:eastAsia="zh-CN" w:bidi="ar-SA"/>
        </w:rPr>
        <w:t>推动血细胞分析领域的智能化创新发展，破解</w:t>
      </w:r>
      <w:r>
        <w:rPr>
          <w:rFonts w:hint="eastAsia" w:ascii="仿宋_GB2312" w:hAnsi="仿宋_GB2312" w:eastAsia="仿宋_GB2312" w:cs="仿宋_GB2312"/>
          <w:b w:val="0"/>
          <w:bCs w:val="0"/>
          <w:spacing w:val="8"/>
          <w:sz w:val="32"/>
          <w:szCs w:val="32"/>
          <w:lang w:val="en-US" w:eastAsia="zh-CN"/>
        </w:rPr>
        <w:t>检验</w:t>
      </w:r>
      <w:r>
        <w:rPr>
          <w:rFonts w:hint="eastAsia" w:ascii="仿宋_GB2312" w:hAnsi="仿宋_GB2312" w:eastAsia="仿宋_GB2312" w:cs="仿宋_GB2312"/>
          <w:b w:val="0"/>
          <w:bCs w:val="0"/>
          <w:snapToGrid w:val="0"/>
          <w:color w:val="000000"/>
          <w:spacing w:val="8"/>
          <w:sz w:val="32"/>
          <w:szCs w:val="32"/>
          <w:lang w:val="en-US" w:eastAsia="zh-CN" w:bidi="ar-SA"/>
        </w:rPr>
        <w:t>医生在复杂病例审核、报告智能解读中面临的专业门槛高、效率待提升等核心问题，拟开展基于大语言模型的血细胞分析智能体构建与验证多中心研究；</w:t>
      </w:r>
    </w:p>
    <w:p w14:paraId="414CDF89">
      <w:pPr>
        <w:pStyle w:val="2"/>
        <w:keepNext w:val="0"/>
        <w:keepLines w:val="0"/>
        <w:pageBreakBefore w:val="0"/>
        <w:numPr>
          <w:ilvl w:val="0"/>
          <w:numId w:val="2"/>
        </w:numPr>
        <w:wordWrap/>
        <w:overflowPunct/>
        <w:topLinePunct w:val="0"/>
        <w:bidi w:val="0"/>
        <w:spacing w:line="560" w:lineRule="exact"/>
        <w:ind w:right="19" w:firstLine="672" w:firstLineChars="200"/>
        <w:jc w:val="left"/>
        <w:rPr>
          <w:rFonts w:hint="eastAsia" w:ascii="仿宋_GB2312" w:hAnsi="仿宋_GB2312" w:eastAsia="仿宋_GB2312" w:cs="仿宋_GB2312"/>
          <w:b w:val="0"/>
          <w:bCs w:val="0"/>
          <w:snapToGrid w:val="0"/>
          <w:color w:val="000000"/>
          <w:spacing w:val="8"/>
          <w:sz w:val="32"/>
          <w:szCs w:val="32"/>
          <w:lang w:val="en-US" w:eastAsia="zh-CN" w:bidi="ar-SA"/>
        </w:rPr>
      </w:pPr>
      <w:r>
        <w:rPr>
          <w:rFonts w:hint="eastAsia" w:ascii="仿宋_GB2312" w:hAnsi="仿宋_GB2312" w:eastAsia="仿宋_GB2312" w:cs="仿宋_GB2312"/>
          <w:b w:val="0"/>
          <w:bCs w:val="0"/>
          <w:snapToGrid w:val="0"/>
          <w:color w:val="000000"/>
          <w:spacing w:val="8"/>
          <w:sz w:val="32"/>
          <w:szCs w:val="32"/>
          <w:lang w:val="en-US" w:eastAsia="zh-CN" w:bidi="ar-SA"/>
        </w:rPr>
        <w:t>通过本次多中心研究将构建血细胞分析智能审核及报告解读模型，并验证其在血细胞分析审核决策与报告生成中的有效性与安全性。</w:t>
      </w:r>
    </w:p>
    <w:p w14:paraId="3CD3A955">
      <w:pPr>
        <w:pStyle w:val="2"/>
        <w:keepNext w:val="0"/>
        <w:keepLines w:val="0"/>
        <w:pageBreakBefore w:val="0"/>
        <w:wordWrap/>
        <w:overflowPunct/>
        <w:topLinePunct w:val="0"/>
        <w:bidi w:val="0"/>
        <w:spacing w:line="560" w:lineRule="exact"/>
        <w:ind w:right="19"/>
        <w:jc w:val="left"/>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三、项目考核指标（项目执行期内）</w:t>
      </w:r>
    </w:p>
    <w:p w14:paraId="6D9789F8">
      <w:pPr>
        <w:pStyle w:val="2"/>
        <w:keepNext w:val="0"/>
        <w:keepLines w:val="0"/>
        <w:pageBreakBefore w:val="0"/>
        <w:wordWrap/>
        <w:overflowPunct/>
        <w:topLinePunct w:val="0"/>
        <w:bidi w:val="0"/>
        <w:spacing w:line="560" w:lineRule="exact"/>
        <w:ind w:right="19" w:firstLine="672" w:firstLineChars="200"/>
        <w:jc w:val="left"/>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（一）学术指标：共同发表中文或SCI论文≥1篇；</w:t>
      </w:r>
    </w:p>
    <w:p w14:paraId="684BAD75">
      <w:pPr>
        <w:pStyle w:val="2"/>
        <w:keepNext w:val="0"/>
        <w:keepLines w:val="0"/>
        <w:pageBreakBefore w:val="0"/>
        <w:wordWrap/>
        <w:overflowPunct/>
        <w:topLinePunct w:val="0"/>
        <w:bidi w:val="0"/>
        <w:spacing w:line="560" w:lineRule="exact"/>
        <w:ind w:right="19" w:firstLine="672" w:firstLineChars="200"/>
        <w:jc w:val="left"/>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（二）技术指标：</w:t>
      </w:r>
      <w:r>
        <w:rPr>
          <w:rFonts w:hint="eastAsia" w:ascii="仿宋_GB2312" w:hAnsi="仿宋_GB2312" w:eastAsia="仿宋_GB2312" w:cs="仿宋_GB2312"/>
          <w:b w:val="0"/>
          <w:bCs w:val="0"/>
          <w:spacing w:val="8"/>
          <w:sz w:val="32"/>
          <w:szCs w:val="32"/>
          <w:lang w:val="en-US" w:eastAsia="zh-CN"/>
        </w:rPr>
        <w:t>通过本次多中心研究将</w:t>
      </w:r>
      <w:r>
        <w:rPr>
          <w:rFonts w:hint="eastAsia" w:ascii="仿宋_GB2312" w:hAnsi="仿宋_GB2312" w:eastAsia="仿宋_GB2312" w:cs="仿宋_GB2312"/>
          <w:b w:val="0"/>
          <w:bCs w:val="0"/>
          <w:snapToGrid w:val="0"/>
          <w:color w:val="000000"/>
          <w:spacing w:val="8"/>
          <w:sz w:val="32"/>
          <w:szCs w:val="32"/>
          <w:lang w:val="en-US" w:eastAsia="zh-CN" w:bidi="ar-SA"/>
        </w:rPr>
        <w:t>构建与验证血细胞分析智能审核及报告解读模型，并落地应用在血细胞分析的检验流程，实现人工审核工作量大大降低，智能报告解读达到与中级检验专家相当的报告质量，改善报告的一致性与生成效率，</w:t>
      </w:r>
      <w:r>
        <w:rPr>
          <w:rFonts w:hint="eastAsia" w:ascii="仿宋_GB2312" w:hAnsi="仿宋_GB2312" w:eastAsia="仿宋_GB2312" w:cs="仿宋_GB2312"/>
          <w:bCs/>
          <w:spacing w:val="8"/>
          <w:sz w:val="32"/>
          <w:szCs w:val="32"/>
          <w:lang w:val="en-US" w:eastAsia="zh-CN"/>
        </w:rPr>
        <w:t>并</w:t>
      </w:r>
      <w:r>
        <w:rPr>
          <w:rFonts w:hint="eastAsia" w:ascii="仿宋_GB2312" w:hAnsi="仿宋_GB2312" w:eastAsia="仿宋_GB2312" w:cs="仿宋_GB2312"/>
          <w:bCs/>
          <w:spacing w:val="8"/>
          <w:sz w:val="32"/>
          <w:szCs w:val="32"/>
          <w:lang w:eastAsia="zh-CN"/>
        </w:rPr>
        <w:t>形成</w:t>
      </w:r>
      <w:r>
        <w:rPr>
          <w:rFonts w:hint="eastAsia" w:ascii="仿宋_GB2312" w:hAnsi="仿宋_GB2312" w:eastAsia="仿宋_GB2312" w:cs="仿宋_GB2312"/>
          <w:bCs/>
          <w:spacing w:val="8"/>
          <w:sz w:val="32"/>
          <w:szCs w:val="32"/>
          <w:lang w:val="en-US" w:eastAsia="zh-CN"/>
        </w:rPr>
        <w:t>≥</w:t>
      </w:r>
      <w:r>
        <w:rPr>
          <w:rFonts w:hint="eastAsia" w:ascii="仿宋_GB2312" w:hAnsi="仿宋_GB2312" w:eastAsia="仿宋_GB2312" w:cs="仿宋_GB2312"/>
          <w:bCs/>
          <w:spacing w:val="8"/>
          <w:sz w:val="32"/>
          <w:szCs w:val="32"/>
          <w:lang w:eastAsia="zh-CN"/>
        </w:rPr>
        <w:t>1份项目结题分析报告。</w:t>
      </w:r>
    </w:p>
    <w:p w14:paraId="0B634A31">
      <w:pPr>
        <w:pStyle w:val="2"/>
        <w:keepNext w:val="0"/>
        <w:keepLines w:val="0"/>
        <w:pageBreakBefore w:val="0"/>
        <w:wordWrap/>
        <w:overflowPunct/>
        <w:topLinePunct w:val="0"/>
        <w:bidi w:val="0"/>
        <w:spacing w:line="560" w:lineRule="exact"/>
        <w:ind w:right="19"/>
        <w:jc w:val="left"/>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bCs/>
          <w:spacing w:val="8"/>
          <w:sz w:val="32"/>
          <w:szCs w:val="32"/>
          <w:lang w:eastAsia="zh-CN"/>
        </w:rPr>
        <w:t>四、项目实施年限：</w:t>
      </w:r>
      <w:r>
        <w:rPr>
          <w:rFonts w:hint="eastAsia" w:ascii="仿宋_GB2312" w:hAnsi="仿宋_GB2312" w:eastAsia="仿宋_GB2312" w:cs="仿宋_GB2312"/>
          <w:b w:val="0"/>
          <w:bCs w:val="0"/>
          <w:spacing w:val="8"/>
          <w:sz w:val="32"/>
          <w:szCs w:val="32"/>
          <w:lang w:eastAsia="zh-CN"/>
        </w:rPr>
        <w:t>不超过2年</w:t>
      </w:r>
    </w:p>
    <w:p w14:paraId="11813BB4">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bCs/>
          <w:spacing w:val="8"/>
          <w:sz w:val="32"/>
          <w:szCs w:val="32"/>
          <w:lang w:eastAsia="zh-CN"/>
        </w:rPr>
        <w:t>五、资助金额：</w:t>
      </w:r>
      <w:r>
        <w:rPr>
          <w:rFonts w:hint="eastAsia" w:ascii="仿宋_GB2312" w:hAnsi="仿宋_GB2312" w:eastAsia="仿宋_GB2312" w:cs="仿宋_GB2312"/>
          <w:b w:val="0"/>
          <w:bCs w:val="0"/>
          <w:spacing w:val="8"/>
          <w:sz w:val="32"/>
          <w:szCs w:val="32"/>
          <w:lang w:val="en-US" w:eastAsia="zh-CN"/>
        </w:rPr>
        <w:t>单个中心不超过10万元</w:t>
      </w:r>
    </w:p>
    <w:p w14:paraId="52AB37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53EF4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49F7C89">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213832C6">
      <w:pPr>
        <w:keepNext w:val="0"/>
        <w:keepLines w:val="0"/>
        <w:pageBreakBefore w:val="0"/>
        <w:widowControl/>
        <w:suppressLineNumbers w:val="0"/>
        <w:shd w:val="clear" w:fill="FFFFFF"/>
        <w:wordWrap/>
        <w:overflowPunct/>
        <w:topLinePunct w:val="0"/>
        <w:bidi w:val="0"/>
        <w:spacing w:beforeAutospacing="0" w:afterAutospacing="0" w:line="560" w:lineRule="exact"/>
        <w:ind w:left="0" w:firstLine="0"/>
        <w:jc w:val="center"/>
        <w:rPr>
          <w:rFonts w:hint="eastAsia" w:ascii="黑体" w:hAnsi="黑体" w:eastAsia="黑体" w:cs="黑体"/>
          <w:b/>
          <w:bCs/>
          <w:snapToGrid w:val="0"/>
          <w:color w:val="000000"/>
          <w:spacing w:val="8"/>
          <w:sz w:val="32"/>
          <w:szCs w:val="32"/>
          <w:lang w:val="en-US" w:eastAsia="zh-CN" w:bidi="ar-SA"/>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12008 </w:t>
      </w:r>
      <w:r>
        <w:rPr>
          <w:rFonts w:hint="eastAsia" w:ascii="黑体" w:hAnsi="黑体" w:eastAsia="黑体" w:cs="黑体"/>
          <w:b/>
          <w:bCs/>
          <w:snapToGrid w:val="0"/>
          <w:color w:val="000000"/>
          <w:spacing w:val="8"/>
          <w:sz w:val="32"/>
          <w:szCs w:val="32"/>
          <w:lang w:val="en-US" w:eastAsia="zh-CN" w:bidi="ar-SA"/>
        </w:rPr>
        <w:t>骨标志指标（VD、OC、CTx、TP1NP等）在典型疾病中分布特征及临床应用多中心临床研究</w:t>
      </w:r>
    </w:p>
    <w:p w14:paraId="0ED01483">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b/>
          <w:bCs/>
          <w:spacing w:val="8"/>
          <w:sz w:val="32"/>
          <w:szCs w:val="32"/>
          <w:lang w:val="en-US" w:eastAsia="zh-CN"/>
        </w:rPr>
        <w:t>一、领域：</w:t>
      </w:r>
      <w:r>
        <w:rPr>
          <w:rFonts w:hint="eastAsia" w:ascii="仿宋_GB2312" w:hAnsi="仿宋_GB2312" w:eastAsia="仿宋_GB2312" w:cs="仿宋_GB2312"/>
          <w:spacing w:val="8"/>
          <w:sz w:val="32"/>
          <w:szCs w:val="32"/>
          <w:lang w:val="en-US" w:eastAsia="zh-CN"/>
        </w:rPr>
        <w:t>骨代谢与慢性疾病</w:t>
      </w:r>
    </w:p>
    <w:p w14:paraId="538C3532">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val="en-US" w:eastAsia="zh-CN"/>
        </w:rPr>
        <w:t>二、主要研究内容</w:t>
      </w:r>
    </w:p>
    <w:p w14:paraId="03A4B00A">
      <w:pPr>
        <w:pStyle w:val="2"/>
        <w:keepNext w:val="0"/>
        <w:keepLines w:val="0"/>
        <w:pageBreakBefore w:val="0"/>
        <w:wordWrap/>
        <w:overflowPunct/>
        <w:topLinePunct w:val="0"/>
        <w:bidi w:val="0"/>
        <w:spacing w:line="560" w:lineRule="exact"/>
        <w:ind w:right="19" w:firstLine="672" w:firstLineChars="200"/>
        <w:jc w:val="both"/>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（一）本研究旨在系统阐明骨代谢指标（VD、OC、TP1NP、β-CTx等）在不同疾病的分布特征及相关性。按照纳入标准筛选受试者并分组，分析骨代谢指标及各疾病特异性指标，明确不同疾病中骨代谢指标的分布规律；</w:t>
      </w:r>
    </w:p>
    <w:p w14:paraId="3C9175F0">
      <w:pPr>
        <w:pStyle w:val="2"/>
        <w:keepNext w:val="0"/>
        <w:keepLines w:val="0"/>
        <w:pageBreakBefore w:val="0"/>
        <w:wordWrap/>
        <w:overflowPunct/>
        <w:topLinePunct w:val="0"/>
        <w:bidi w:val="0"/>
        <w:spacing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val="en-US" w:eastAsia="zh-CN"/>
        </w:rPr>
        <w:t>（二）分析骨代谢指标与各疾病诊断及进展的相关性，探索其作为早期诊断标志物或疾病监测指标的潜在价值。研究成果将为上述慢性病患者的骨代谢异常早期识别、风险分层及个体化干预提供重要循证依据。</w:t>
      </w:r>
    </w:p>
    <w:p w14:paraId="32DA4A00">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val="en-US" w:eastAsia="zh-CN"/>
        </w:rPr>
        <w:t>三、项目考核指标（项目执行期内）</w:t>
      </w:r>
    </w:p>
    <w:p w14:paraId="51811D65">
      <w:pPr>
        <w:pStyle w:val="2"/>
        <w:keepNext w:val="0"/>
        <w:keepLines w:val="0"/>
        <w:pageBreakBefore w:val="0"/>
        <w:wordWrap/>
        <w:overflowPunct/>
        <w:topLinePunct w:val="0"/>
        <w:bidi w:val="0"/>
        <w:spacing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val="en-US" w:eastAsia="zh-CN"/>
        </w:rPr>
        <w:t>（一）学术指标：发表学术论文≥1篇；</w:t>
      </w:r>
    </w:p>
    <w:p w14:paraId="2A73676D">
      <w:pPr>
        <w:pStyle w:val="2"/>
        <w:keepNext w:val="0"/>
        <w:keepLines w:val="0"/>
        <w:pageBreakBefore w:val="0"/>
        <w:wordWrap/>
        <w:overflowPunct/>
        <w:topLinePunct w:val="0"/>
        <w:bidi w:val="0"/>
        <w:spacing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val="en-US" w:eastAsia="zh-CN"/>
        </w:rPr>
        <w:t>（二）技术指标：建立标准化的骨代谢指标检测及数据管理流程，构建覆盖不同典型疾病的骨代谢专病数据库，系统阐明骨代谢指标在各疾病中的分布规律、与疾病诊断/进展的相关性及其临床应用价值，对建立的骨代谢指标与疾病关联模型进行效能评估。并形成≥1份结题分析报告。</w:t>
      </w:r>
    </w:p>
    <w:p w14:paraId="3E08C05C">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val="en-US" w:eastAsia="zh-CN"/>
        </w:rPr>
        <w:t>四、项目实施年限：</w:t>
      </w:r>
      <w:r>
        <w:rPr>
          <w:rFonts w:hint="eastAsia" w:ascii="仿宋_GB2312" w:hAnsi="仿宋_GB2312" w:eastAsia="仿宋_GB2312" w:cs="仿宋_GB2312"/>
          <w:spacing w:val="8"/>
          <w:sz w:val="32"/>
          <w:szCs w:val="32"/>
          <w:lang w:val="en-US" w:eastAsia="zh-CN"/>
        </w:rPr>
        <w:t>不超过2年</w:t>
      </w:r>
    </w:p>
    <w:p w14:paraId="6B97764A">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val="en-US" w:eastAsia="zh-CN"/>
        </w:rPr>
        <w:t>五、资助金额：</w:t>
      </w:r>
      <w:r>
        <w:rPr>
          <w:rFonts w:hint="eastAsia" w:ascii="仿宋_GB2312" w:hAnsi="仿宋_GB2312" w:eastAsia="仿宋_GB2312" w:cs="仿宋_GB2312"/>
          <w:spacing w:val="8"/>
          <w:sz w:val="32"/>
          <w:szCs w:val="32"/>
          <w:lang w:val="en-US" w:eastAsia="zh-CN"/>
        </w:rPr>
        <w:t>多中心临床研究，不超过6家单位，每家单位不超过2万元</w:t>
      </w:r>
    </w:p>
    <w:p w14:paraId="5B6698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spacing w:val="8"/>
          <w:sz w:val="32"/>
          <w:szCs w:val="32"/>
          <w:highlight w:val="none"/>
          <w:lang w:val="en-US" w:eastAsia="zh-CN"/>
        </w:rPr>
      </w:pPr>
    </w:p>
    <w:p w14:paraId="215213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12009 0—6岁</w:t>
      </w:r>
      <w:r>
        <w:rPr>
          <w:rFonts w:hint="eastAsia" w:ascii="黑体" w:hAnsi="黑体" w:eastAsia="黑体" w:cs="黑体"/>
          <w:b/>
          <w:bCs/>
          <w:sz w:val="32"/>
          <w:szCs w:val="32"/>
        </w:rPr>
        <w:t>儿童</w:t>
      </w:r>
      <w:r>
        <w:rPr>
          <w:rFonts w:hint="eastAsia" w:ascii="黑体" w:hAnsi="黑体" w:eastAsia="黑体" w:cs="黑体"/>
          <w:b/>
          <w:bCs/>
          <w:sz w:val="32"/>
          <w:szCs w:val="32"/>
          <w:lang w:val="en-US" w:eastAsia="zh-CN"/>
        </w:rPr>
        <w:t>常规八项</w:t>
      </w:r>
      <w:r>
        <w:rPr>
          <w:rFonts w:hint="eastAsia" w:ascii="黑体" w:hAnsi="黑体" w:eastAsia="黑体" w:cs="黑体"/>
          <w:b/>
          <w:bCs/>
          <w:sz w:val="32"/>
          <w:szCs w:val="32"/>
        </w:rPr>
        <w:t>凝血指标参考范围</w:t>
      </w:r>
      <w:r>
        <w:rPr>
          <w:rFonts w:hint="eastAsia" w:ascii="黑体" w:hAnsi="黑体" w:eastAsia="黑体" w:cs="黑体"/>
          <w:b/>
          <w:bCs/>
          <w:sz w:val="32"/>
          <w:szCs w:val="32"/>
          <w:lang w:val="en-US" w:eastAsia="zh-CN"/>
        </w:rPr>
        <w:t>的建立</w:t>
      </w:r>
    </w:p>
    <w:p w14:paraId="080588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领域：</w:t>
      </w:r>
      <w:r>
        <w:rPr>
          <w:rFonts w:hint="eastAsia" w:ascii="仿宋_GB2312" w:hAnsi="仿宋_GB2312" w:eastAsia="仿宋_GB2312" w:cs="仿宋_GB2312"/>
          <w:b w:val="0"/>
          <w:bCs w:val="0"/>
          <w:sz w:val="32"/>
          <w:szCs w:val="32"/>
          <w:lang w:val="en-US" w:eastAsia="zh-CN"/>
        </w:rPr>
        <w:t>儿童、微量血、凝血参考范围</w:t>
      </w:r>
    </w:p>
    <w:p w14:paraId="02CEB6D2">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主要研究内容</w:t>
      </w:r>
    </w:p>
    <w:p w14:paraId="73208C8D">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以多中心临床研究的形式（样本量</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lang w:val="en-US" w:eastAsia="zh-CN"/>
        </w:rPr>
        <w:t>900例</w:t>
      </w:r>
      <w:r>
        <w:rPr>
          <w:rFonts w:hint="eastAsia" w:ascii="仿宋_GB2312" w:hAnsi="仿宋_GB2312" w:eastAsia="仿宋_GB2312" w:cs="仿宋_GB2312"/>
          <w:kern w:val="2"/>
          <w:sz w:val="32"/>
          <w:szCs w:val="32"/>
          <w:lang w:val="en-US" w:eastAsia="zh-CN" w:bidi="ar-SA"/>
        </w:rPr>
        <w:t>）建立中国0—6岁健康儿童基于微量血（≤1.5mL）的凝血八项指标（PT、APTT、TT、Fib、FDP、D-D、AT-Ⅲ、INR）年龄－性别分层参考区间。</w:t>
      </w:r>
    </w:p>
    <w:p w14:paraId="0CDF31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3C6E2027">
      <w:pPr>
        <w:pStyle w:val="2"/>
        <w:keepNext w:val="0"/>
        <w:keepLines w:val="0"/>
        <w:pageBreakBefore w:val="0"/>
        <w:wordWrap/>
        <w:overflowPunct/>
        <w:topLinePunct w:val="0"/>
        <w:bidi w:val="0"/>
        <w:spacing w:line="560" w:lineRule="exact"/>
        <w:ind w:right="19" w:firstLine="504" w:firstLineChars="15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（一）学术指标：发表</w:t>
      </w:r>
      <w:r>
        <w:rPr>
          <w:rFonts w:hint="eastAsia" w:ascii="仿宋_GB2312" w:hAnsi="仿宋_GB2312" w:eastAsia="仿宋_GB2312" w:cs="仿宋_GB2312"/>
          <w:spacing w:val="8"/>
          <w:sz w:val="32"/>
          <w:szCs w:val="32"/>
          <w:highlight w:val="none"/>
          <w:lang w:val="en-US" w:eastAsia="zh-CN"/>
        </w:rPr>
        <w:t>学术</w:t>
      </w:r>
      <w:r>
        <w:rPr>
          <w:rFonts w:hint="eastAsia" w:ascii="仿宋_GB2312" w:hAnsi="仿宋_GB2312" w:eastAsia="仿宋_GB2312" w:cs="仿宋_GB2312"/>
          <w:spacing w:val="8"/>
          <w:sz w:val="32"/>
          <w:szCs w:val="32"/>
          <w:highlight w:val="none"/>
          <w:lang w:eastAsia="zh-CN"/>
        </w:rPr>
        <w:t>论文≥1篇；</w:t>
      </w:r>
    </w:p>
    <w:p w14:paraId="7713FA96">
      <w:pPr>
        <w:pStyle w:val="2"/>
        <w:keepNext w:val="0"/>
        <w:keepLines w:val="0"/>
        <w:pageBreakBefore w:val="0"/>
        <w:numPr>
          <w:ilvl w:val="0"/>
          <w:numId w:val="0"/>
        </w:numPr>
        <w:wordWrap/>
        <w:overflowPunct/>
        <w:topLinePunct w:val="0"/>
        <w:bidi w:val="0"/>
        <w:spacing w:line="560" w:lineRule="exact"/>
        <w:ind w:right="19" w:rightChars="0" w:firstLine="480" w:firstLineChars="15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（二）</w:t>
      </w:r>
      <w:r>
        <w:rPr>
          <w:rFonts w:hint="eastAsia" w:ascii="仿宋_GB2312" w:hAnsi="仿宋_GB2312" w:eastAsia="仿宋_GB2312" w:cs="仿宋_GB2312"/>
          <w:spacing w:val="8"/>
          <w:sz w:val="32"/>
          <w:szCs w:val="32"/>
          <w:highlight w:val="none"/>
          <w:lang w:eastAsia="zh-CN"/>
        </w:rPr>
        <w:t>技术指标：</w:t>
      </w:r>
      <w:r>
        <w:rPr>
          <w:rFonts w:hint="eastAsia" w:ascii="仿宋_GB2312" w:hAnsi="仿宋_GB2312" w:eastAsia="仿宋_GB2312" w:cs="仿宋_GB2312"/>
          <w:kern w:val="2"/>
          <w:sz w:val="32"/>
          <w:szCs w:val="32"/>
          <w:lang w:val="en-US" w:eastAsia="zh-CN" w:bidi="ar-SA"/>
        </w:rPr>
        <w:t>参与该多中心研究的医院共同收集符合年龄要求的质量合格血液样本≥150例/组，共6组（分3个年龄组、男性和女性：0-6个月、6个月-1岁，1-6岁），并完成凝血八项指标的检测（PT、APTT、TT、Fib、FDP、D-D、AT-Ⅲ、INR），根据各参与单位结果建立0—6岁儿童微量血凝血参考范围</w:t>
      </w:r>
      <w:r>
        <w:rPr>
          <w:rFonts w:hint="eastAsia" w:ascii="仿宋_GB2312" w:hAnsi="仿宋_GB2312" w:eastAsia="仿宋_GB2312" w:cs="仿宋_GB2312"/>
          <w:b w:val="0"/>
          <w:bCs w:val="0"/>
          <w:snapToGrid w:val="0"/>
          <w:color w:val="000000"/>
          <w:spacing w:val="8"/>
          <w:sz w:val="32"/>
          <w:szCs w:val="32"/>
          <w:lang w:val="en-US" w:eastAsia="zh-CN" w:bidi="ar-SA"/>
        </w:rPr>
        <w:t>，</w:t>
      </w:r>
      <w:r>
        <w:rPr>
          <w:rFonts w:hint="eastAsia" w:ascii="仿宋_GB2312" w:hAnsi="仿宋_GB2312" w:eastAsia="仿宋_GB2312" w:cs="仿宋_GB2312"/>
          <w:bCs/>
          <w:spacing w:val="8"/>
          <w:sz w:val="32"/>
          <w:szCs w:val="32"/>
          <w:lang w:val="en-US" w:eastAsia="zh-CN"/>
        </w:rPr>
        <w:t>并</w:t>
      </w:r>
      <w:r>
        <w:rPr>
          <w:rFonts w:hint="eastAsia" w:ascii="仿宋_GB2312" w:hAnsi="仿宋_GB2312" w:eastAsia="仿宋_GB2312" w:cs="仿宋_GB2312"/>
          <w:bCs/>
          <w:spacing w:val="8"/>
          <w:sz w:val="32"/>
          <w:szCs w:val="32"/>
          <w:lang w:eastAsia="zh-CN"/>
        </w:rPr>
        <w:t>形成</w:t>
      </w:r>
      <w:r>
        <w:rPr>
          <w:rFonts w:hint="eastAsia" w:ascii="仿宋_GB2312" w:hAnsi="仿宋_GB2312" w:eastAsia="仿宋_GB2312" w:cs="仿宋_GB2312"/>
          <w:bCs/>
          <w:spacing w:val="8"/>
          <w:sz w:val="32"/>
          <w:szCs w:val="32"/>
          <w:lang w:val="en-US" w:eastAsia="zh-CN"/>
        </w:rPr>
        <w:t>≥</w:t>
      </w:r>
      <w:r>
        <w:rPr>
          <w:rFonts w:hint="eastAsia" w:ascii="仿宋_GB2312" w:hAnsi="仿宋_GB2312" w:eastAsia="仿宋_GB2312" w:cs="仿宋_GB2312"/>
          <w:bCs/>
          <w:spacing w:val="8"/>
          <w:sz w:val="32"/>
          <w:szCs w:val="32"/>
          <w:lang w:eastAsia="zh-CN"/>
        </w:rPr>
        <w:t>1份项目结题分析报告。</w:t>
      </w:r>
    </w:p>
    <w:p w14:paraId="196B368B">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项目实施年限：</w:t>
      </w:r>
      <w:r>
        <w:rPr>
          <w:rFonts w:hint="eastAsia" w:ascii="仿宋_GB2312" w:hAnsi="仿宋_GB2312" w:eastAsia="仿宋_GB2312" w:cs="仿宋_GB2312"/>
          <w:b w:val="0"/>
          <w:bCs w:val="0"/>
          <w:sz w:val="32"/>
          <w:szCs w:val="32"/>
          <w:lang w:val="en-US" w:eastAsia="zh-CN"/>
        </w:rPr>
        <w:t>不超过</w:t>
      </w:r>
      <w:r>
        <w:rPr>
          <w:rFonts w:hint="eastAsia" w:ascii="仿宋_GB2312" w:hAnsi="仿宋_GB2312" w:eastAsia="仿宋_GB2312" w:cs="仿宋_GB2312"/>
          <w:b w:val="0"/>
          <w:bCs w:val="0"/>
          <w:sz w:val="32"/>
          <w:szCs w:val="32"/>
        </w:rPr>
        <w:t>2年</w:t>
      </w:r>
    </w:p>
    <w:p w14:paraId="0EA21BD2">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资助金额：</w:t>
      </w:r>
      <w:r>
        <w:rPr>
          <w:rFonts w:hint="eastAsia" w:ascii="仿宋_GB2312" w:hAnsi="仿宋_GB2312" w:eastAsia="仿宋_GB2312" w:cs="仿宋_GB2312"/>
          <w:sz w:val="32"/>
          <w:szCs w:val="32"/>
        </w:rPr>
        <w:t>不超过1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p>
    <w:p w14:paraId="23B24EAE">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4A378D37">
      <w:pPr>
        <w:pStyle w:val="2"/>
        <w:keepNext w:val="0"/>
        <w:keepLines w:val="0"/>
        <w:pageBreakBefore w:val="0"/>
        <w:wordWrap/>
        <w:overflowPunct/>
        <w:topLinePunct w:val="0"/>
        <w:bidi w:val="0"/>
        <w:spacing w:line="560" w:lineRule="exact"/>
        <w:ind w:right="17"/>
        <w:rPr>
          <w:rFonts w:hint="eastAsia" w:ascii="仿宋_GB2312" w:hAnsi="仿宋_GB2312" w:eastAsia="仿宋_GB2312" w:cs="仿宋_GB2312"/>
          <w:b/>
          <w:bCs/>
          <w:spacing w:val="8"/>
          <w:sz w:val="32"/>
          <w:szCs w:val="32"/>
          <w:lang w:eastAsia="zh-CN"/>
        </w:rPr>
      </w:pPr>
    </w:p>
    <w:p w14:paraId="7774C3AF">
      <w:pPr>
        <w:pStyle w:val="2"/>
        <w:keepNext w:val="0"/>
        <w:keepLines w:val="0"/>
        <w:pageBreakBefore w:val="0"/>
        <w:wordWrap/>
        <w:overflowPunct/>
        <w:topLinePunct w:val="0"/>
        <w:bidi w:val="0"/>
        <w:spacing w:line="560" w:lineRule="exact"/>
        <w:ind w:right="17"/>
        <w:rPr>
          <w:rFonts w:hint="eastAsia" w:ascii="仿宋_GB2312" w:hAnsi="仿宋_GB2312" w:eastAsia="仿宋_GB2312" w:cs="仿宋_GB2312"/>
          <w:b/>
          <w:bCs/>
          <w:spacing w:val="8"/>
          <w:sz w:val="32"/>
          <w:szCs w:val="32"/>
          <w:lang w:eastAsia="zh-CN"/>
        </w:rPr>
      </w:pPr>
    </w:p>
    <w:p w14:paraId="7ECA6904">
      <w:pPr>
        <w:pStyle w:val="2"/>
        <w:keepNext w:val="0"/>
        <w:keepLines w:val="0"/>
        <w:pageBreakBefore w:val="0"/>
        <w:wordWrap/>
        <w:overflowPunct/>
        <w:topLinePunct w:val="0"/>
        <w:bidi w:val="0"/>
        <w:spacing w:line="560" w:lineRule="exact"/>
        <w:ind w:right="17"/>
        <w:rPr>
          <w:rFonts w:hint="eastAsia" w:ascii="仿宋_GB2312" w:hAnsi="仿宋_GB2312" w:eastAsia="仿宋_GB2312" w:cs="仿宋_GB2312"/>
          <w:b/>
          <w:bCs/>
          <w:spacing w:val="8"/>
          <w:sz w:val="32"/>
          <w:szCs w:val="32"/>
          <w:lang w:eastAsia="zh-CN"/>
        </w:rPr>
      </w:pPr>
    </w:p>
    <w:p w14:paraId="1B3FEA3B">
      <w:pPr>
        <w:pStyle w:val="2"/>
        <w:keepNext w:val="0"/>
        <w:keepLines w:val="0"/>
        <w:pageBreakBefore w:val="0"/>
        <w:wordWrap/>
        <w:overflowPunct/>
        <w:topLinePunct w:val="0"/>
        <w:bidi w:val="0"/>
        <w:spacing w:line="560" w:lineRule="exact"/>
        <w:ind w:right="17"/>
        <w:rPr>
          <w:rFonts w:hint="eastAsia" w:ascii="仿宋_GB2312" w:hAnsi="仿宋_GB2312" w:eastAsia="仿宋_GB2312" w:cs="仿宋_GB2312"/>
          <w:b/>
          <w:bCs/>
          <w:spacing w:val="8"/>
          <w:sz w:val="32"/>
          <w:szCs w:val="32"/>
          <w:lang w:eastAsia="zh-CN"/>
        </w:rPr>
      </w:pPr>
    </w:p>
    <w:p w14:paraId="766ACFA6">
      <w:pPr>
        <w:pStyle w:val="2"/>
        <w:keepNext w:val="0"/>
        <w:keepLines w:val="0"/>
        <w:pageBreakBefore w:val="0"/>
        <w:wordWrap/>
        <w:overflowPunct/>
        <w:topLinePunct w:val="0"/>
        <w:bidi w:val="0"/>
        <w:spacing w:line="560" w:lineRule="exact"/>
        <w:ind w:right="17"/>
        <w:rPr>
          <w:rFonts w:hint="eastAsia" w:ascii="黑体" w:hAnsi="黑体" w:eastAsia="黑体" w:cs="黑体"/>
          <w:b/>
          <w:bCs/>
          <w:spacing w:val="8"/>
          <w:sz w:val="32"/>
          <w:szCs w:val="32"/>
          <w:highlight w:val="none"/>
          <w:lang w:val="en-US" w:eastAsia="zh-CN"/>
        </w:rPr>
      </w:pPr>
    </w:p>
    <w:p w14:paraId="4F2C3DAE">
      <w:pPr>
        <w:pStyle w:val="2"/>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12010</w:t>
      </w:r>
      <w:r>
        <w:rPr>
          <w:rFonts w:hint="eastAsia" w:ascii="黑体" w:hAnsi="黑体" w:eastAsia="黑体" w:cs="黑体"/>
          <w:b/>
          <w:bCs/>
          <w:spacing w:val="8"/>
          <w:sz w:val="32"/>
          <w:szCs w:val="32"/>
          <w:lang w:eastAsia="zh-CN"/>
        </w:rPr>
        <w:t xml:space="preserve"> 狼疮抗凝物不同检测方法的比对研究</w:t>
      </w:r>
    </w:p>
    <w:p w14:paraId="50488BB9">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val="0"/>
          <w:spacing w:val="8"/>
          <w:sz w:val="32"/>
          <w:szCs w:val="32"/>
          <w:lang w:eastAsia="zh-CN"/>
        </w:rPr>
        <w:t>一、领域：</w:t>
      </w:r>
      <w:r>
        <w:rPr>
          <w:rFonts w:hint="eastAsia" w:ascii="仿宋_GB2312" w:hAnsi="仿宋_GB2312" w:eastAsia="仿宋_GB2312" w:cs="仿宋_GB2312"/>
          <w:spacing w:val="8"/>
          <w:sz w:val="32"/>
          <w:szCs w:val="32"/>
          <w:lang w:eastAsia="zh-CN"/>
        </w:rPr>
        <w:t>凝血检测</w:t>
      </w:r>
    </w:p>
    <w:p w14:paraId="0A251C3D">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b/>
          <w:bCs w:val="0"/>
          <w:spacing w:val="8"/>
          <w:sz w:val="32"/>
          <w:szCs w:val="32"/>
          <w:lang w:eastAsia="zh-CN"/>
        </w:rPr>
      </w:pPr>
      <w:r>
        <w:rPr>
          <w:rFonts w:hint="eastAsia" w:ascii="仿宋_GB2312" w:hAnsi="仿宋_GB2312" w:eastAsia="仿宋_GB2312" w:cs="仿宋_GB2312"/>
          <w:b/>
          <w:bCs w:val="0"/>
          <w:spacing w:val="8"/>
          <w:sz w:val="32"/>
          <w:szCs w:val="32"/>
          <w:lang w:eastAsia="zh-CN"/>
        </w:rPr>
        <w:t>二、主要研究内容</w:t>
      </w:r>
    </w:p>
    <w:p w14:paraId="718935C3">
      <w:pPr>
        <w:pStyle w:val="2"/>
        <w:keepNext w:val="0"/>
        <w:keepLines w:val="0"/>
        <w:pageBreakBefore w:val="0"/>
        <w:wordWrap/>
        <w:overflowPunct/>
        <w:topLinePunct w:val="0"/>
        <w:bidi w:val="0"/>
        <w:spacing w:line="560" w:lineRule="exact"/>
        <w:ind w:right="19" w:firstLine="504" w:firstLineChars="15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一</w:t>
      </w:r>
      <w:r>
        <w:rPr>
          <w:rFonts w:hint="eastAsia" w:ascii="仿宋_GB2312" w:hAnsi="仿宋_GB2312" w:eastAsia="仿宋_GB2312" w:cs="仿宋_GB2312"/>
          <w:spacing w:val="8"/>
          <w:sz w:val="32"/>
          <w:szCs w:val="32"/>
          <w:lang w:eastAsia="zh-CN"/>
        </w:rPr>
        <w:t>）本研究针对狼疮抗凝物（LA）检测算法国际指南不一、结果解读缺乏标准化导致的敏感性/特异性波动及实验室间差异大的现状，通过系统评估不同指南推荐算法的诊断性能；</w:t>
      </w:r>
    </w:p>
    <w:p w14:paraId="4C83EBAC">
      <w:pPr>
        <w:pStyle w:val="2"/>
        <w:keepNext w:val="0"/>
        <w:keepLines w:val="0"/>
        <w:pageBreakBefore w:val="0"/>
        <w:wordWrap/>
        <w:overflowPunct/>
        <w:topLinePunct w:val="0"/>
        <w:bidi w:val="0"/>
        <w:spacing w:line="560" w:lineRule="exact"/>
        <w:ind w:right="19" w:firstLine="504" w:firstLineChars="15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二</w:t>
      </w:r>
      <w:r>
        <w:rPr>
          <w:rFonts w:hint="eastAsia" w:ascii="仿宋_GB2312" w:hAnsi="仿宋_GB2312" w:eastAsia="仿宋_GB2312" w:cs="仿宋_GB2312"/>
          <w:spacing w:val="8"/>
          <w:sz w:val="32"/>
          <w:szCs w:val="32"/>
          <w:lang w:eastAsia="zh-CN"/>
        </w:rPr>
        <w:t>）构建基于标准化比值与混合试验指标的诊断模型，旨在建立精准、统一的LA检测与判读流程，推动抗磷脂综合征及相关血栓性疾病的标准化诊断与智能报告系统的应用。</w:t>
      </w:r>
    </w:p>
    <w:p w14:paraId="2F6E9169">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b/>
          <w:bCs w:val="0"/>
          <w:spacing w:val="8"/>
          <w:sz w:val="32"/>
          <w:szCs w:val="32"/>
          <w:lang w:eastAsia="zh-CN"/>
        </w:rPr>
      </w:pPr>
      <w:r>
        <w:rPr>
          <w:rFonts w:hint="eastAsia" w:ascii="仿宋_GB2312" w:hAnsi="仿宋_GB2312" w:eastAsia="仿宋_GB2312" w:cs="仿宋_GB2312"/>
          <w:b/>
          <w:bCs w:val="0"/>
          <w:spacing w:val="8"/>
          <w:sz w:val="32"/>
          <w:szCs w:val="32"/>
          <w:lang w:eastAsia="zh-CN"/>
        </w:rPr>
        <w:t>三、项目考核指标（项目执行期内）</w:t>
      </w:r>
    </w:p>
    <w:p w14:paraId="3CA953CA">
      <w:pPr>
        <w:pStyle w:val="2"/>
        <w:keepNext w:val="0"/>
        <w:keepLines w:val="0"/>
        <w:pageBreakBefore w:val="0"/>
        <w:wordWrap/>
        <w:overflowPunct/>
        <w:topLinePunct w:val="0"/>
        <w:bidi w:val="0"/>
        <w:spacing w:line="560" w:lineRule="exact"/>
        <w:ind w:right="19" w:firstLine="504" w:firstLineChars="15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（一）学术指标：共同发表中文或SCI论文≥1篇；</w:t>
      </w:r>
    </w:p>
    <w:p w14:paraId="421B527A">
      <w:pPr>
        <w:pStyle w:val="2"/>
        <w:keepNext w:val="0"/>
        <w:keepLines w:val="0"/>
        <w:pageBreakBefore w:val="0"/>
        <w:wordWrap/>
        <w:overflowPunct/>
        <w:topLinePunct w:val="0"/>
        <w:bidi w:val="0"/>
        <w:spacing w:line="560" w:lineRule="exact"/>
        <w:ind w:right="19" w:firstLine="504" w:firstLineChars="15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（二）技术指标：通过多维度分析临床样本数据，验证各检测方法的敏感性与特异性差异，并构建基于标准化比值和混合试验指标的诊断模型。全面系统评估，形成≥1份</w:t>
      </w:r>
      <w:r>
        <w:rPr>
          <w:rFonts w:hint="eastAsia" w:ascii="仿宋_GB2312" w:hAnsi="仿宋_GB2312" w:eastAsia="仿宋_GB2312" w:cs="仿宋_GB2312"/>
          <w:spacing w:val="8"/>
          <w:sz w:val="32"/>
          <w:szCs w:val="32"/>
          <w:lang w:val="en-US" w:eastAsia="zh-CN"/>
        </w:rPr>
        <w:t>项目</w:t>
      </w:r>
      <w:r>
        <w:rPr>
          <w:rFonts w:hint="eastAsia" w:ascii="仿宋_GB2312" w:hAnsi="仿宋_GB2312" w:eastAsia="仿宋_GB2312" w:cs="仿宋_GB2312"/>
          <w:spacing w:val="8"/>
          <w:sz w:val="32"/>
          <w:szCs w:val="32"/>
          <w:lang w:eastAsia="zh-CN"/>
        </w:rPr>
        <w:t>评估报告。</w:t>
      </w:r>
    </w:p>
    <w:p w14:paraId="2D37E544">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765802BE">
      <w:pPr>
        <w:pStyle w:val="2"/>
        <w:keepNext w:val="0"/>
        <w:keepLines w:val="0"/>
        <w:pageBreakBefore w:val="0"/>
        <w:wordWrap/>
        <w:overflowPunct/>
        <w:topLinePunct w:val="0"/>
        <w:bidi w:val="0"/>
        <w:spacing w:line="560" w:lineRule="exact"/>
        <w:ind w:right="19"/>
        <w:jc w:val="both"/>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不超过1</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lang w:eastAsia="zh-CN"/>
        </w:rPr>
        <w:t>万元</w:t>
      </w:r>
    </w:p>
    <w:p w14:paraId="520D9A9E">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41158"/>
    <w:multiLevelType w:val="singleLevel"/>
    <w:tmpl w:val="DEA41158"/>
    <w:lvl w:ilvl="0" w:tentative="0">
      <w:start w:val="1"/>
      <w:numFmt w:val="chineseCounting"/>
      <w:suff w:val="nothing"/>
      <w:lvlText w:val="%1、"/>
      <w:lvlJc w:val="left"/>
      <w:rPr>
        <w:rFonts w:hint="eastAsia"/>
      </w:rPr>
    </w:lvl>
  </w:abstractNum>
  <w:abstractNum w:abstractNumId="1">
    <w:nsid w:val="7C78521E"/>
    <w:multiLevelType w:val="singleLevel"/>
    <w:tmpl w:val="7C78521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17729"/>
    <w:rsid w:val="0A9213C3"/>
    <w:rsid w:val="10E17729"/>
    <w:rsid w:val="66231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Normal (Web)"/>
    <w:basedOn w:val="1"/>
    <w:qFormat/>
    <w:uiPriority w:val="0"/>
    <w:rPr>
      <w:sz w:val="24"/>
    </w:rPr>
  </w:style>
  <w:style w:type="character" w:styleId="6">
    <w:name w:val="Strong"/>
    <w:basedOn w:val="5"/>
    <w:qFormat/>
    <w:uiPriority w:val="0"/>
    <w:rPr>
      <w:b/>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7f592993-4eff-4b0d-bb92-988c4668825d</errorID>
      <errorWord>面</errorWord>
      <group>L1_AI</group>
      <groupName>深度校对</groupName>
      <ability>L2_AI_Word</ability>
      <abilityName>字词纠错</abilityName>
      <candidateList>
        <item>项目</item>
      </candidateList>
      <explain>〈名〉事物分成的门类：服务～｜体育～｜建设～。</explain>
      <paraID>5D2DBFC3</paraID>
      <start>0</start>
      <end>1</end>
      <status>unmodified</status>
      <modifiedWord/>
      <trackRevisions>false</trackRevisions>
    </reviewItem>
    <reviewItem>
      <errorID>09200718-cea9-44da-a112-93b5a764b29c</errorID>
      <errorWord>研究</errorWord>
      <group>L1_AI</group>
      <groupName>深度校对</groupName>
      <ability>L2_AI_Grammar</ability>
      <abilityName>语法纠错</abilityName>
      <candidateList>
        <item>中的研究</item>
      </candidateList>
      <explain/>
      <paraID>5D2DBFC3</paraID>
      <start>43</start>
      <end>45</end>
      <status>unmodified</status>
      <modifiedWord/>
      <trackRevisions>false</trackRevisions>
    </reviewItem>
    <reviewItem>
      <errorID>a4367c0f-a65f-4686-834f-37fabb317fd8</errorID>
      <errorWord>面</errorWord>
      <group>L1_AI</group>
      <groupName>深度校对</groupName>
      <ability>L2_AI_Word</ability>
      <abilityName>字词纠错</abilityName>
      <candidateList>
        <item>项目</item>
      </candidateList>
      <explain>〈名〉事物分成的门类：服务～｜体育～｜建设～。</explain>
      <paraID>75C79855</paraID>
      <start>0</start>
      <end>1</end>
      <status>unmodified</status>
      <modifiedWord/>
      <trackRevisions>false</trackRevisions>
    </reviewItem>
    <reviewItem>
      <errorID>b4b02574-696a-4412-824d-2d8e87e8f8f0</errorID>
      <errorWord>面</errorWord>
      <group>L1_AI</group>
      <groupName>深度校对</groupName>
      <ability>L2_AI_Word</ability>
      <abilityName>字词纠错</abilityName>
      <candidateList>
        <item>项目</item>
      </candidateList>
      <explain>〈名〉事物分成的门类：服务～｜体育～｜建设～。</explain>
      <paraID>2881FD6E</paraID>
      <start>0</start>
      <end>1</end>
      <status>unmodified</status>
      <modifiedWord/>
      <trackRevisions>false</trackRevisions>
    </reviewItem>
    <reviewItem>
      <errorID>4fd6a287-cc95-4914-b975-ebf6961ef381</errorID>
      <errorWord>面</errorWord>
      <group>L1_AI</group>
      <groupName>深度校对</groupName>
      <ability>L2_AI_Word</ability>
      <abilityName>字词纠错</abilityName>
      <candidateList>
        <item>项目</item>
      </candidateList>
      <explain>〈名〉事物分成的门类：服务～｜体育～｜建设～。</explain>
      <paraID>528C222D</paraID>
      <start>0</start>
      <end>1</end>
      <status>unmodified</status>
      <modifiedWord/>
      <trackRevisions>false</trackRevisions>
    </reviewItem>
    <reviewItem>
      <errorID>1bc6ad06-d4cb-4e3d-8c38-52046bffc21e</errorID>
      <errorWord>病例</errorWord>
      <group>L1_Word</group>
      <groupName>字词问题</groupName>
      <ability>L2_Typo</ability>
      <abilityName>字词错误</abilityName>
      <candidateList>
        <item>病历</item>
      </candidateList>
      <explain>〈名〉医务人员对病人的病情、诊断和处理方法的记录。</explain>
      <paraID>512BB592</paraID>
      <start>27</start>
      <end>29</end>
      <status>unmodified</status>
      <modifiedWord/>
      <trackRevisions>false</trackRevisions>
    </reviewItem>
    <reviewItem>
      <errorID>3e929fbc-600d-480b-af8b-95669bfc2bac</errorID>
      <errorWord>面202512008</errorWord>
      <group>L1_AI</group>
      <groupName>深度校对</groupName>
      <ability>L2_AI_Word</ability>
      <abilityName>字词纠错</abilityName>
      <candidateList>
        <item>202512008</item>
      </candidateList>
      <explain/>
      <paraID>213832C6</paraID>
      <start>0</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6f4efabe-53e7-4e53-9251-9b33ed486e9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4128</Words>
  <Characters>4653</Characters>
  <Lines>0</Lines>
  <Paragraphs>0</Paragraphs>
  <TotalTime>1</TotalTime>
  <ScaleCrop>false</ScaleCrop>
  <LinksUpToDate>false</LinksUpToDate>
  <CharactersWithSpaces>4689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2025-12-12T03:08:00Z</dcterms:created>
  <dc:creator>Elfinsword、</dc:creator>
  <cp:lastModifiedBy>Elfinsword、</cp:lastModifiedBy>
  <dcterms:modified xsi:type="dcterms:W3CDTF">2025-12-15T07:48:12Z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ADB4DEE4D8054DE1B233898D872604CD_11</vt:lpwstr>
  </property>
  <property fmtid="{D5CDD505-2E9C-101B-9397-08002B2CF9AE}" pid="4" name="KSOTemplateDocerSaveRecord">
    <vt:lpwstr>eyJoZGlkIjoiNDQzMzQwMmVhMDMxNmMxOTI4ZWZjYWVhYmU0ZjQyNDgiLCJ1c2VySWQiOiIzNTE1MjMxMzUifQ==</vt:lpwstr>
  </property>
</Properties>
</file>