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4083A3">
      <w:pPr>
        <w:autoSpaceDE/>
        <w:autoSpaceDN/>
        <w:spacing w:line="560" w:lineRule="exact"/>
        <w:ind w:right="248"/>
        <w:jc w:val="center"/>
        <w:outlineLvl w:val="0"/>
        <w:rPr>
          <w:rFonts w:ascii="方正小标宋简体" w:hAnsi="方正小标宋简体" w:eastAsia="方正小标宋简体" w:cs="方正小标宋简体"/>
          <w:spacing w:val="19"/>
          <w:sz w:val="44"/>
          <w:szCs w:val="44"/>
          <w:highlight w:val="none"/>
          <w:lang w:eastAsia="zh-CN"/>
        </w:rPr>
      </w:pPr>
      <w:r>
        <w:rPr>
          <w:rFonts w:hint="eastAsia" w:ascii="方正小标宋简体" w:hAnsi="方正小标宋简体" w:eastAsia="方正小标宋简体" w:cs="方正小标宋简体"/>
          <w:spacing w:val="19"/>
          <w:sz w:val="44"/>
          <w:szCs w:val="44"/>
          <w:highlight w:val="none"/>
          <w:lang w:eastAsia="zh-CN"/>
        </w:rPr>
        <w:t>临床检验新技术创新基金（第三批）项目</w:t>
      </w:r>
    </w:p>
    <w:p w14:paraId="60B75221">
      <w:pPr>
        <w:autoSpaceDE/>
        <w:autoSpaceDN/>
        <w:spacing w:after="360" w:afterLines="150" w:line="560" w:lineRule="exact"/>
        <w:ind w:left="3323" w:right="249" w:hanging="3130"/>
        <w:jc w:val="center"/>
        <w:outlineLvl w:val="0"/>
        <w:rPr>
          <w:rFonts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pacing w:val="-6"/>
          <w:sz w:val="44"/>
          <w:szCs w:val="44"/>
          <w:highlight w:val="none"/>
          <w:lang w:eastAsia="zh-CN"/>
        </w:rPr>
        <w:t>课题指南</w:t>
      </w:r>
    </w:p>
    <w:p w14:paraId="4F2C3DAE">
      <w:pPr>
        <w:pStyle w:val="3"/>
        <w:spacing w:before="120" w:line="560" w:lineRule="exact"/>
        <w:ind w:right="17"/>
        <w:jc w:val="center"/>
        <w:rPr>
          <w:rFonts w:ascii="仿宋_GB2312" w:hAnsi="仿宋_GB2312" w:eastAsia="仿宋_GB2312" w:cs="仿宋_GB2312"/>
          <w:b/>
          <w:bCs/>
          <w:spacing w:val="8"/>
          <w:sz w:val="32"/>
          <w:szCs w:val="32"/>
          <w:highlight w:val="none"/>
          <w:lang w:eastAsia="zh-CN"/>
        </w:rPr>
      </w:pPr>
      <w:r>
        <w:rPr>
          <w:rFonts w:hint="eastAsia" w:ascii="黑体" w:hAnsi="黑体" w:eastAsia="黑体" w:cs="黑体"/>
          <w:b/>
          <w:bCs/>
          <w:spacing w:val="8"/>
          <w:sz w:val="32"/>
          <w:szCs w:val="32"/>
          <w:highlight w:val="none"/>
          <w:lang w:eastAsia="zh-CN"/>
        </w:rPr>
        <w:t>面2025</w:t>
      </w:r>
      <w:r>
        <w:rPr>
          <w:rFonts w:ascii="黑体" w:hAnsi="黑体" w:eastAsia="黑体" w:cs="黑体"/>
          <w:b/>
          <w:bCs/>
          <w:spacing w:val="8"/>
          <w:sz w:val="32"/>
          <w:szCs w:val="32"/>
          <w:highlight w:val="none"/>
          <w:lang w:eastAsia="zh-CN"/>
        </w:rPr>
        <w:t>10</w:t>
      </w:r>
      <w:r>
        <w:rPr>
          <w:rFonts w:hint="eastAsia" w:ascii="黑体" w:hAnsi="黑体" w:eastAsia="黑体" w:cs="黑体"/>
          <w:b/>
          <w:bCs/>
          <w:spacing w:val="8"/>
          <w:sz w:val="32"/>
          <w:szCs w:val="32"/>
          <w:highlight w:val="none"/>
          <w:lang w:eastAsia="zh-CN"/>
        </w:rPr>
        <w:t>001 高通量核酸快检系统在儿童门急诊应用规范化多中心研究</w:t>
      </w:r>
    </w:p>
    <w:p w14:paraId="50488BB9">
      <w:pPr>
        <w:pStyle w:val="3"/>
        <w:spacing w:before="47" w:line="560" w:lineRule="exact"/>
        <w:ind w:right="19"/>
        <w:jc w:val="both"/>
        <w:rPr>
          <w:rFonts w:ascii="仿宋_GB2312" w:hAnsi="仿宋_GB2312" w:eastAsia="仿宋_GB2312" w:cs="仿宋_GB2312"/>
          <w:spacing w:val="8"/>
          <w:sz w:val="32"/>
          <w:szCs w:val="32"/>
          <w:highlight w:val="none"/>
          <w:lang w:eastAsia="zh-CN"/>
        </w:rPr>
      </w:pPr>
      <w:r>
        <w:rPr>
          <w:rFonts w:hint="eastAsia" w:ascii="黑体" w:hAnsi="黑体" w:eastAsia="黑体" w:cs="黑体"/>
          <w:bCs/>
          <w:spacing w:val="8"/>
          <w:sz w:val="32"/>
          <w:szCs w:val="32"/>
          <w:highlight w:val="none"/>
          <w:lang w:eastAsia="zh-CN"/>
        </w:rPr>
        <w:t>一、领域：</w:t>
      </w:r>
      <w:r>
        <w:rPr>
          <w:rFonts w:hint="eastAsia" w:ascii="仿宋_GB2312" w:hAnsi="仿宋_GB2312" w:eastAsia="仿宋_GB2312" w:cs="仿宋_GB2312"/>
          <w:spacing w:val="8"/>
          <w:sz w:val="32"/>
          <w:szCs w:val="32"/>
          <w:highlight w:val="none"/>
          <w:lang w:eastAsia="zh-CN"/>
        </w:rPr>
        <w:t>分子快检</w:t>
      </w:r>
    </w:p>
    <w:p w14:paraId="0A251C3D">
      <w:pPr>
        <w:pStyle w:val="3"/>
        <w:spacing w:before="47" w:line="560" w:lineRule="exact"/>
        <w:ind w:right="19"/>
        <w:jc w:val="both"/>
        <w:rPr>
          <w:rFonts w:ascii="黑体" w:hAnsi="黑体" w:eastAsia="黑体" w:cs="黑体"/>
          <w:bCs/>
          <w:spacing w:val="8"/>
          <w:sz w:val="32"/>
          <w:szCs w:val="32"/>
          <w:highlight w:val="none"/>
          <w:lang w:eastAsia="zh-CN"/>
        </w:rPr>
      </w:pPr>
      <w:r>
        <w:rPr>
          <w:rFonts w:hint="eastAsia" w:ascii="黑体" w:hAnsi="黑体" w:eastAsia="黑体" w:cs="黑体"/>
          <w:bCs/>
          <w:spacing w:val="8"/>
          <w:sz w:val="32"/>
          <w:szCs w:val="32"/>
          <w:highlight w:val="none"/>
          <w:lang w:eastAsia="zh-CN"/>
        </w:rPr>
        <w:t>二、主要研究内容</w:t>
      </w:r>
    </w:p>
    <w:p w14:paraId="739ED56C">
      <w:pPr>
        <w:pStyle w:val="3"/>
        <w:spacing w:before="47" w:line="560" w:lineRule="exact"/>
        <w:ind w:right="19" w:firstLine="672" w:firstLineChars="20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建立一套适用于儿童门急诊的全面高通量核酸快检系统评估体系，该体系能够从分析性能、临床性能、防污染、检测效率、易用性等多个维度来定义高通量核酸快检系统，从而指导各个厂家能够开发出高性能、高效、安全的高通量核酸检测系统，同时也需建立一套医院端的验证体系，为医院选择合适的高通量核酸检测系统提供指导依据。基于上述建立的体系对高通量核酸检测系统进行评价。</w:t>
      </w:r>
    </w:p>
    <w:p w14:paraId="2F6E9169">
      <w:pPr>
        <w:pStyle w:val="3"/>
        <w:spacing w:before="47" w:line="560" w:lineRule="exact"/>
        <w:ind w:right="19"/>
        <w:jc w:val="both"/>
        <w:rPr>
          <w:rFonts w:ascii="黑体" w:hAnsi="黑体" w:eastAsia="黑体" w:cs="黑体"/>
          <w:bCs/>
          <w:spacing w:val="8"/>
          <w:sz w:val="32"/>
          <w:szCs w:val="32"/>
          <w:highlight w:val="none"/>
          <w:lang w:eastAsia="zh-CN"/>
        </w:rPr>
      </w:pPr>
      <w:r>
        <w:rPr>
          <w:rFonts w:hint="eastAsia" w:ascii="黑体" w:hAnsi="黑体" w:eastAsia="黑体" w:cs="黑体"/>
          <w:bCs/>
          <w:spacing w:val="8"/>
          <w:sz w:val="32"/>
          <w:szCs w:val="32"/>
          <w:highlight w:val="none"/>
          <w:lang w:eastAsia="zh-CN"/>
        </w:rPr>
        <w:t>三、项目考核指标（项目执行期内）</w:t>
      </w:r>
    </w:p>
    <w:p w14:paraId="3FCD48AE">
      <w:pPr>
        <w:pStyle w:val="3"/>
        <w:spacing w:before="47" w:line="560" w:lineRule="exact"/>
        <w:ind w:right="19" w:firstLine="504" w:firstLineChars="15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（一）学术指标：</w:t>
      </w:r>
    </w:p>
    <w:p w14:paraId="416A0564">
      <w:pPr>
        <w:pStyle w:val="3"/>
        <w:spacing w:before="47" w:line="560" w:lineRule="exact"/>
        <w:ind w:right="19" w:firstLine="504" w:firstLineChars="15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共同发表中文或SCI论文≥1篇；</w:t>
      </w:r>
    </w:p>
    <w:p w14:paraId="1B5DA06D">
      <w:pPr>
        <w:pStyle w:val="3"/>
        <w:spacing w:before="47" w:line="560" w:lineRule="exact"/>
        <w:ind w:right="19" w:firstLine="504" w:firstLineChars="15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（二）技术指标：</w:t>
      </w:r>
    </w:p>
    <w:p w14:paraId="421B527A">
      <w:pPr>
        <w:pStyle w:val="3"/>
        <w:spacing w:before="47" w:line="560" w:lineRule="exact"/>
        <w:ind w:right="19" w:firstLine="672" w:firstLineChars="20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建立高通量核酸快检系统的评估体系，并对核酸检测设备进行全面系统地评估，形成≥1份评估报告。</w:t>
      </w:r>
    </w:p>
    <w:p w14:paraId="2D37E544">
      <w:pPr>
        <w:pStyle w:val="3"/>
        <w:spacing w:before="47" w:line="560" w:lineRule="exact"/>
        <w:ind w:right="19"/>
        <w:jc w:val="both"/>
        <w:rPr>
          <w:rFonts w:ascii="仿宋_GB2312" w:hAnsi="仿宋_GB2312" w:eastAsia="仿宋_GB2312" w:cs="仿宋_GB2312"/>
          <w:spacing w:val="8"/>
          <w:sz w:val="32"/>
          <w:szCs w:val="32"/>
          <w:highlight w:val="none"/>
          <w:lang w:eastAsia="zh-CN"/>
        </w:rPr>
      </w:pPr>
      <w:r>
        <w:rPr>
          <w:rFonts w:hint="eastAsia" w:ascii="黑体" w:hAnsi="黑体" w:eastAsia="黑体" w:cs="黑体"/>
          <w:bCs/>
          <w:spacing w:val="8"/>
          <w:sz w:val="32"/>
          <w:szCs w:val="32"/>
          <w:highlight w:val="none"/>
          <w:lang w:eastAsia="zh-CN"/>
        </w:rPr>
        <w:t>四、项目实施年限：</w:t>
      </w:r>
      <w:r>
        <w:rPr>
          <w:rFonts w:hint="eastAsia" w:ascii="仿宋_GB2312" w:hAnsi="仿宋_GB2312" w:eastAsia="仿宋_GB2312" w:cs="仿宋_GB2312"/>
          <w:spacing w:val="8"/>
          <w:sz w:val="32"/>
          <w:szCs w:val="32"/>
          <w:highlight w:val="none"/>
          <w:lang w:eastAsia="zh-CN"/>
        </w:rPr>
        <w:t>不超过2年</w:t>
      </w:r>
    </w:p>
    <w:p w14:paraId="54633E77">
      <w:pPr>
        <w:pStyle w:val="3"/>
        <w:spacing w:before="47" w:line="560" w:lineRule="exact"/>
        <w:ind w:right="19"/>
        <w:jc w:val="both"/>
        <w:rPr>
          <w:rFonts w:ascii="仿宋_GB2312" w:hAnsi="仿宋_GB2312" w:eastAsia="仿宋_GB2312" w:cs="仿宋_GB2312"/>
          <w:spacing w:val="8"/>
          <w:sz w:val="32"/>
          <w:szCs w:val="32"/>
          <w:highlight w:val="none"/>
          <w:lang w:eastAsia="zh-CN"/>
        </w:rPr>
      </w:pPr>
      <w:r>
        <w:rPr>
          <w:rFonts w:hint="eastAsia" w:ascii="黑体" w:hAnsi="黑体" w:eastAsia="黑体" w:cs="黑体"/>
          <w:bCs/>
          <w:spacing w:val="8"/>
          <w:sz w:val="32"/>
          <w:szCs w:val="32"/>
          <w:highlight w:val="none"/>
          <w:lang w:eastAsia="zh-CN"/>
        </w:rPr>
        <w:t>五、资助金额：</w:t>
      </w:r>
      <w:r>
        <w:rPr>
          <w:rFonts w:hint="eastAsia" w:ascii="仿宋_GB2312" w:hAnsi="仿宋_GB2312" w:eastAsia="仿宋_GB2312" w:cs="仿宋_GB2312"/>
          <w:spacing w:val="8"/>
          <w:sz w:val="32"/>
          <w:szCs w:val="32"/>
          <w:highlight w:val="none"/>
          <w:lang w:eastAsia="zh-CN"/>
        </w:rPr>
        <w:t>不超过</w:t>
      </w:r>
      <w:r>
        <w:rPr>
          <w:rFonts w:hint="eastAsia" w:ascii="仿宋_GB2312" w:hAnsi="仿宋_GB2312" w:eastAsia="仿宋_GB2312" w:cs="仿宋_GB2312"/>
          <w:spacing w:val="8"/>
          <w:sz w:val="32"/>
          <w:szCs w:val="32"/>
          <w:highlight w:val="none"/>
          <w:lang w:val="en-US" w:eastAsia="zh-CN"/>
        </w:rPr>
        <w:t>1</w:t>
      </w:r>
      <w:r>
        <w:rPr>
          <w:rFonts w:hint="eastAsia" w:ascii="仿宋_GB2312" w:hAnsi="仿宋_GB2312" w:eastAsia="仿宋_GB2312" w:cs="仿宋_GB2312"/>
          <w:spacing w:val="8"/>
          <w:sz w:val="32"/>
          <w:szCs w:val="32"/>
          <w:highlight w:val="none"/>
          <w:lang w:eastAsia="zh-CN"/>
        </w:rPr>
        <w:t>0万元</w:t>
      </w:r>
    </w:p>
    <w:p w14:paraId="1E33256A">
      <w:pPr>
        <w:pStyle w:val="3"/>
        <w:spacing w:before="47" w:line="560" w:lineRule="exact"/>
        <w:ind w:right="19"/>
        <w:jc w:val="center"/>
        <w:rPr>
          <w:rFonts w:ascii="黑体" w:hAnsi="黑体" w:eastAsia="黑体" w:cs="黑体"/>
          <w:b/>
          <w:bCs/>
          <w:spacing w:val="8"/>
          <w:sz w:val="32"/>
          <w:szCs w:val="32"/>
          <w:highlight w:val="none"/>
          <w:lang w:eastAsia="zh-CN"/>
        </w:rPr>
      </w:pPr>
      <w:r>
        <w:rPr>
          <w:rFonts w:hint="eastAsia" w:ascii="黑体" w:hAnsi="黑体" w:eastAsia="黑体" w:cs="黑体"/>
          <w:b/>
          <w:bCs/>
          <w:spacing w:val="8"/>
          <w:sz w:val="32"/>
          <w:szCs w:val="32"/>
          <w:highlight w:val="none"/>
          <w:lang w:eastAsia="zh-CN"/>
        </w:rPr>
        <w:t>面2025</w:t>
      </w:r>
      <w:r>
        <w:rPr>
          <w:rFonts w:ascii="黑体" w:hAnsi="黑体" w:eastAsia="黑体" w:cs="黑体"/>
          <w:b/>
          <w:bCs/>
          <w:spacing w:val="8"/>
          <w:sz w:val="32"/>
          <w:szCs w:val="32"/>
          <w:highlight w:val="none"/>
          <w:lang w:eastAsia="zh-CN"/>
        </w:rPr>
        <w:t>10</w:t>
      </w:r>
      <w:r>
        <w:rPr>
          <w:rFonts w:hint="eastAsia" w:ascii="黑体" w:hAnsi="黑体" w:eastAsia="黑体" w:cs="黑体"/>
          <w:b/>
          <w:bCs/>
          <w:spacing w:val="8"/>
          <w:sz w:val="32"/>
          <w:szCs w:val="32"/>
          <w:highlight w:val="none"/>
          <w:lang w:eastAsia="zh-CN"/>
        </w:rPr>
        <w:t>002 脑卒中患者日常生活活动能力康复进展的机器学习预测模型研究</w:t>
      </w:r>
    </w:p>
    <w:p w14:paraId="4CCD5F94">
      <w:pPr>
        <w:pStyle w:val="3"/>
        <w:spacing w:before="47" w:line="560" w:lineRule="exact"/>
        <w:ind w:right="19"/>
        <w:rPr>
          <w:rFonts w:ascii="仿宋_GB2312" w:hAnsi="仿宋_GB2312" w:eastAsia="仿宋_GB2312" w:cs="仿宋_GB2312"/>
          <w:bCs/>
          <w:spacing w:val="8"/>
          <w:sz w:val="32"/>
          <w:szCs w:val="32"/>
          <w:highlight w:val="none"/>
          <w:lang w:eastAsia="zh-CN"/>
        </w:rPr>
      </w:pPr>
      <w:r>
        <w:rPr>
          <w:rFonts w:hint="eastAsia" w:ascii="黑体" w:hAnsi="黑体" w:eastAsia="黑体" w:cs="黑体"/>
          <w:spacing w:val="8"/>
          <w:sz w:val="32"/>
          <w:szCs w:val="32"/>
          <w:highlight w:val="none"/>
          <w:lang w:eastAsia="zh-CN"/>
        </w:rPr>
        <w:t>一、领域：</w:t>
      </w:r>
      <w:r>
        <w:rPr>
          <w:rFonts w:hint="eastAsia" w:ascii="仿宋_GB2312" w:hAnsi="仿宋_GB2312" w:eastAsia="仿宋_GB2312" w:cs="仿宋_GB2312"/>
          <w:bCs/>
          <w:spacing w:val="8"/>
          <w:sz w:val="32"/>
          <w:szCs w:val="32"/>
          <w:highlight w:val="none"/>
          <w:lang w:eastAsia="zh-CN"/>
        </w:rPr>
        <w:t>脑卒中康复</w:t>
      </w:r>
    </w:p>
    <w:p w14:paraId="0CD62852">
      <w:pPr>
        <w:pStyle w:val="3"/>
        <w:spacing w:before="47" w:line="560" w:lineRule="exact"/>
        <w:ind w:right="19"/>
        <w:rPr>
          <w:rFonts w:ascii="黑体" w:hAnsi="黑体" w:eastAsia="黑体" w:cs="黑体"/>
          <w:spacing w:val="8"/>
          <w:sz w:val="32"/>
          <w:szCs w:val="32"/>
          <w:highlight w:val="none"/>
          <w:lang w:eastAsia="zh-CN"/>
        </w:rPr>
      </w:pPr>
      <w:r>
        <w:rPr>
          <w:rFonts w:hint="eastAsia" w:ascii="黑体" w:hAnsi="黑体" w:eastAsia="黑体" w:cs="黑体"/>
          <w:spacing w:val="8"/>
          <w:sz w:val="32"/>
          <w:szCs w:val="32"/>
          <w:highlight w:val="none"/>
          <w:lang w:eastAsia="zh-CN"/>
        </w:rPr>
        <w:t>二、主要研究内容</w:t>
      </w:r>
    </w:p>
    <w:p w14:paraId="1683D639">
      <w:pPr>
        <w:spacing w:before="91" w:line="560" w:lineRule="exact"/>
        <w:ind w:right="248" w:firstLine="672" w:firstLineChars="200"/>
        <w:jc w:val="both"/>
        <w:outlineLvl w:val="0"/>
        <w:rPr>
          <w:rFonts w:ascii="仿宋_GB2312" w:hAnsi="仿宋_GB2312" w:eastAsia="仿宋_GB2312" w:cs="仿宋_GB2312"/>
          <w:bCs/>
          <w:spacing w:val="8"/>
          <w:sz w:val="32"/>
          <w:szCs w:val="32"/>
          <w:highlight w:val="none"/>
          <w:lang w:eastAsia="zh-CN"/>
        </w:rPr>
      </w:pPr>
      <w:r>
        <w:rPr>
          <w:rFonts w:hint="eastAsia" w:ascii="仿宋_GB2312" w:hAnsi="仿宋_GB2312" w:eastAsia="仿宋_GB2312" w:cs="仿宋_GB2312"/>
          <w:bCs/>
          <w:spacing w:val="8"/>
          <w:sz w:val="32"/>
          <w:szCs w:val="32"/>
          <w:highlight w:val="none"/>
          <w:lang w:eastAsia="zh-CN"/>
        </w:rPr>
        <w:t>中重度脑卒中的康复治疗，是神经康复的重点、难点，是降低卒中残疾率的关键环节。日常生活活动能力（ADL）反映了人们在家庭内和在社区中的最大基本能力，是评价脑卒中功能预后的指标之一。基于单中心、前瞻性的中重度脑卒中住院康复治疗患者病例不少于200例，以单个住院周期入、出院时患者MBI评分差值作为ADL能力进展状况评价指标。收集人口统计学资料、危险因素、影像信息、康复量表评分等，分析影响ADL改善的核心影响因素，联合以上多模态信息，采用机器学习算法，建立ADL康复改善预测模型。</w:t>
      </w:r>
    </w:p>
    <w:p w14:paraId="32493DA6">
      <w:pPr>
        <w:spacing w:before="91" w:line="560" w:lineRule="exact"/>
        <w:ind w:right="248"/>
        <w:outlineLvl w:val="0"/>
        <w:rPr>
          <w:rFonts w:ascii="黑体" w:hAnsi="黑体" w:eastAsia="黑体" w:cs="黑体"/>
          <w:spacing w:val="8"/>
          <w:sz w:val="32"/>
          <w:szCs w:val="32"/>
          <w:highlight w:val="none"/>
          <w:lang w:eastAsia="zh-CN"/>
        </w:rPr>
      </w:pPr>
      <w:r>
        <w:rPr>
          <w:rFonts w:hint="eastAsia" w:ascii="黑体" w:hAnsi="黑体" w:eastAsia="黑体" w:cs="黑体"/>
          <w:spacing w:val="8"/>
          <w:sz w:val="32"/>
          <w:szCs w:val="32"/>
          <w:highlight w:val="none"/>
          <w:lang w:eastAsia="zh-CN"/>
        </w:rPr>
        <w:t>三、项目考核指标（项目执行期内）</w:t>
      </w:r>
    </w:p>
    <w:p w14:paraId="3ECEE0E5">
      <w:pPr>
        <w:spacing w:before="91" w:line="560" w:lineRule="exact"/>
        <w:ind w:right="248" w:firstLine="672" w:firstLineChars="200"/>
        <w:jc w:val="both"/>
        <w:outlineLvl w:val="0"/>
        <w:rPr>
          <w:rFonts w:ascii="仿宋_GB2312" w:hAnsi="仿宋_GB2312" w:eastAsia="仿宋_GB2312" w:cs="仿宋_GB2312"/>
          <w:bCs/>
          <w:spacing w:val="8"/>
          <w:sz w:val="32"/>
          <w:szCs w:val="32"/>
          <w:highlight w:val="none"/>
          <w:lang w:eastAsia="zh-CN"/>
        </w:rPr>
      </w:pPr>
      <w:r>
        <w:rPr>
          <w:rFonts w:hint="eastAsia" w:ascii="仿宋_GB2312" w:hAnsi="仿宋_GB2312" w:eastAsia="仿宋_GB2312" w:cs="仿宋_GB2312"/>
          <w:bCs/>
          <w:spacing w:val="8"/>
          <w:sz w:val="32"/>
          <w:szCs w:val="32"/>
          <w:highlight w:val="none"/>
          <w:lang w:eastAsia="zh-CN"/>
        </w:rPr>
        <w:t>（一）学术指标：</w:t>
      </w:r>
    </w:p>
    <w:p w14:paraId="4D8E3EE3">
      <w:pPr>
        <w:pStyle w:val="3"/>
        <w:spacing w:before="47" w:line="560" w:lineRule="exact"/>
        <w:ind w:right="19" w:firstLine="672" w:firstLineChars="20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发表中文或SCI论文≥1篇；</w:t>
      </w:r>
    </w:p>
    <w:p w14:paraId="2951CD35">
      <w:pPr>
        <w:spacing w:before="91" w:line="560" w:lineRule="exact"/>
        <w:ind w:right="248" w:firstLine="672" w:firstLineChars="200"/>
        <w:jc w:val="both"/>
        <w:outlineLvl w:val="0"/>
        <w:rPr>
          <w:rFonts w:ascii="仿宋_GB2312" w:hAnsi="仿宋_GB2312" w:eastAsia="仿宋_GB2312" w:cs="仿宋_GB2312"/>
          <w:bCs/>
          <w:spacing w:val="8"/>
          <w:sz w:val="32"/>
          <w:szCs w:val="32"/>
          <w:highlight w:val="none"/>
          <w:lang w:eastAsia="zh-CN"/>
        </w:rPr>
      </w:pPr>
      <w:r>
        <w:rPr>
          <w:rFonts w:hint="eastAsia" w:ascii="仿宋_GB2312" w:hAnsi="仿宋_GB2312" w:eastAsia="仿宋_GB2312" w:cs="仿宋_GB2312"/>
          <w:bCs/>
          <w:spacing w:val="8"/>
          <w:sz w:val="32"/>
          <w:szCs w:val="32"/>
          <w:highlight w:val="none"/>
          <w:lang w:eastAsia="zh-CN"/>
        </w:rPr>
        <w:t>（二）技术指标：</w:t>
      </w:r>
    </w:p>
    <w:p w14:paraId="4B81037D">
      <w:pPr>
        <w:spacing w:before="91" w:line="560" w:lineRule="exact"/>
        <w:ind w:right="248" w:firstLine="672" w:firstLineChars="200"/>
        <w:jc w:val="both"/>
        <w:outlineLvl w:val="0"/>
        <w:rPr>
          <w:rFonts w:hint="eastAsia" w:ascii="仿宋_GB2312" w:hAnsi="仿宋_GB2312" w:eastAsia="仿宋_GB2312" w:cs="仿宋_GB2312"/>
          <w:bCs/>
          <w:spacing w:val="8"/>
          <w:sz w:val="32"/>
          <w:szCs w:val="32"/>
          <w:highlight w:val="none"/>
          <w:lang w:eastAsia="zh-CN"/>
        </w:rPr>
      </w:pPr>
      <w:r>
        <w:rPr>
          <w:rFonts w:hint="eastAsia" w:ascii="仿宋_GB2312" w:hAnsi="仿宋_GB2312" w:eastAsia="仿宋_GB2312" w:cs="仿宋_GB2312"/>
          <w:bCs/>
          <w:spacing w:val="8"/>
          <w:sz w:val="32"/>
          <w:szCs w:val="32"/>
          <w:highlight w:val="none"/>
          <w:lang w:eastAsia="zh-CN"/>
        </w:rPr>
        <w:t>建立一种脑卒中患者单个康复治疗周期后ALD改善的预测模型，形成≥1份相关</w:t>
      </w:r>
      <w:r>
        <w:rPr>
          <w:rFonts w:hint="eastAsia" w:ascii="仿宋_GB2312" w:hAnsi="仿宋_GB2312" w:eastAsia="仿宋_GB2312" w:cs="仿宋_GB2312"/>
          <w:bCs/>
          <w:spacing w:val="8"/>
          <w:sz w:val="32"/>
          <w:szCs w:val="32"/>
          <w:highlight w:val="none"/>
          <w:lang w:val="en-US" w:eastAsia="zh-CN"/>
        </w:rPr>
        <w:t>验证</w:t>
      </w:r>
      <w:r>
        <w:rPr>
          <w:rFonts w:hint="eastAsia" w:ascii="仿宋_GB2312" w:hAnsi="仿宋_GB2312" w:eastAsia="仿宋_GB2312" w:cs="仿宋_GB2312"/>
          <w:bCs/>
          <w:spacing w:val="8"/>
          <w:sz w:val="32"/>
          <w:szCs w:val="32"/>
          <w:highlight w:val="none"/>
          <w:lang w:eastAsia="zh-CN"/>
        </w:rPr>
        <w:t>报告。</w:t>
      </w:r>
    </w:p>
    <w:p w14:paraId="4CE665D6">
      <w:pPr>
        <w:spacing w:before="91" w:line="560" w:lineRule="exact"/>
        <w:ind w:right="248"/>
        <w:jc w:val="both"/>
        <w:outlineLvl w:val="0"/>
        <w:rPr>
          <w:rFonts w:ascii="仿宋_GB2312" w:hAnsi="仿宋_GB2312" w:eastAsia="仿宋_GB2312" w:cs="仿宋_GB2312"/>
          <w:bCs/>
          <w:spacing w:val="8"/>
          <w:sz w:val="32"/>
          <w:szCs w:val="32"/>
          <w:highlight w:val="none"/>
          <w:lang w:eastAsia="zh-CN"/>
        </w:rPr>
      </w:pPr>
      <w:r>
        <w:rPr>
          <w:rFonts w:hint="eastAsia" w:ascii="黑体" w:hAnsi="黑体" w:eastAsia="黑体" w:cs="黑体"/>
          <w:spacing w:val="8"/>
          <w:sz w:val="32"/>
          <w:szCs w:val="32"/>
          <w:highlight w:val="none"/>
          <w:lang w:eastAsia="zh-CN"/>
        </w:rPr>
        <w:t>四、项目实施年限：</w:t>
      </w:r>
      <w:r>
        <w:rPr>
          <w:rFonts w:hint="eastAsia" w:ascii="仿宋_GB2312" w:hAnsi="仿宋_GB2312" w:eastAsia="仿宋_GB2312" w:cs="仿宋_GB2312"/>
          <w:bCs/>
          <w:spacing w:val="8"/>
          <w:sz w:val="32"/>
          <w:szCs w:val="32"/>
          <w:highlight w:val="none"/>
          <w:lang w:eastAsia="zh-CN"/>
        </w:rPr>
        <w:t>不超过</w:t>
      </w:r>
      <w:r>
        <w:rPr>
          <w:rFonts w:hint="eastAsia" w:ascii="仿宋_GB2312" w:hAnsi="仿宋_GB2312" w:eastAsia="仿宋_GB2312" w:cs="仿宋_GB2312"/>
          <w:bCs/>
          <w:spacing w:val="8"/>
          <w:sz w:val="32"/>
          <w:szCs w:val="32"/>
          <w:highlight w:val="none"/>
          <w:lang w:val="en-US" w:eastAsia="zh-CN"/>
        </w:rPr>
        <w:t>2</w:t>
      </w:r>
      <w:r>
        <w:rPr>
          <w:rFonts w:hint="eastAsia" w:ascii="仿宋_GB2312" w:hAnsi="仿宋_GB2312" w:eastAsia="仿宋_GB2312" w:cs="仿宋_GB2312"/>
          <w:bCs/>
          <w:spacing w:val="8"/>
          <w:sz w:val="32"/>
          <w:szCs w:val="32"/>
          <w:highlight w:val="none"/>
          <w:lang w:eastAsia="zh-CN"/>
        </w:rPr>
        <w:t>年</w:t>
      </w:r>
    </w:p>
    <w:p w14:paraId="26EE9B0D">
      <w:pPr>
        <w:spacing w:before="91" w:line="560" w:lineRule="exact"/>
        <w:ind w:right="248"/>
        <w:jc w:val="both"/>
        <w:outlineLvl w:val="0"/>
        <w:rPr>
          <w:rFonts w:ascii="仿宋_GB2312" w:hAnsi="仿宋_GB2312" w:eastAsia="仿宋_GB2312" w:cs="仿宋_GB2312"/>
          <w:bCs/>
          <w:spacing w:val="8"/>
          <w:sz w:val="32"/>
          <w:szCs w:val="32"/>
          <w:highlight w:val="none"/>
          <w:lang w:eastAsia="zh-CN"/>
        </w:rPr>
      </w:pPr>
      <w:r>
        <w:rPr>
          <w:rFonts w:hint="eastAsia" w:ascii="黑体" w:hAnsi="黑体" w:eastAsia="黑体" w:cs="黑体"/>
          <w:spacing w:val="8"/>
          <w:sz w:val="32"/>
          <w:szCs w:val="32"/>
          <w:highlight w:val="none"/>
          <w:lang w:eastAsia="zh-CN"/>
        </w:rPr>
        <w:t>五、资助金额：</w:t>
      </w:r>
      <w:r>
        <w:rPr>
          <w:rFonts w:hint="eastAsia" w:ascii="仿宋_GB2312" w:hAnsi="仿宋_GB2312" w:eastAsia="仿宋_GB2312" w:cs="仿宋_GB2312"/>
          <w:bCs/>
          <w:spacing w:val="8"/>
          <w:sz w:val="32"/>
          <w:szCs w:val="32"/>
          <w:highlight w:val="none"/>
          <w:lang w:eastAsia="zh-CN"/>
        </w:rPr>
        <w:t>不超过</w:t>
      </w:r>
      <w:r>
        <w:rPr>
          <w:rFonts w:ascii="仿宋_GB2312" w:hAnsi="仿宋_GB2312" w:eastAsia="仿宋_GB2312" w:cs="仿宋_GB2312"/>
          <w:bCs/>
          <w:spacing w:val="8"/>
          <w:sz w:val="32"/>
          <w:szCs w:val="32"/>
          <w:highlight w:val="none"/>
          <w:lang w:eastAsia="zh-CN"/>
        </w:rPr>
        <w:t>15</w:t>
      </w:r>
      <w:r>
        <w:rPr>
          <w:rFonts w:hint="eastAsia" w:ascii="仿宋_GB2312" w:hAnsi="仿宋_GB2312" w:eastAsia="仿宋_GB2312" w:cs="仿宋_GB2312"/>
          <w:bCs/>
          <w:spacing w:val="8"/>
          <w:sz w:val="32"/>
          <w:szCs w:val="32"/>
          <w:highlight w:val="none"/>
          <w:lang w:eastAsia="zh-CN"/>
        </w:rPr>
        <w:t>万元</w:t>
      </w:r>
    </w:p>
    <w:p w14:paraId="6A30FB3C">
      <w:pPr>
        <w:spacing w:before="91" w:line="560" w:lineRule="exact"/>
        <w:ind w:right="248"/>
        <w:jc w:val="center"/>
        <w:outlineLvl w:val="0"/>
        <w:rPr>
          <w:rFonts w:ascii="黑体" w:hAnsi="黑体" w:eastAsia="黑体" w:cs="黑体"/>
          <w:b/>
          <w:bCs/>
          <w:spacing w:val="8"/>
          <w:sz w:val="32"/>
          <w:szCs w:val="32"/>
          <w:highlight w:val="none"/>
          <w:lang w:eastAsia="zh-CN"/>
        </w:rPr>
      </w:pPr>
      <w:r>
        <w:rPr>
          <w:rFonts w:hint="eastAsia" w:ascii="黑体" w:hAnsi="黑体" w:eastAsia="黑体" w:cs="黑体"/>
          <w:b/>
          <w:bCs/>
          <w:spacing w:val="8"/>
          <w:sz w:val="32"/>
          <w:szCs w:val="32"/>
          <w:highlight w:val="none"/>
          <w:lang w:eastAsia="zh-CN"/>
        </w:rPr>
        <w:t>面2025</w:t>
      </w:r>
      <w:r>
        <w:rPr>
          <w:rFonts w:ascii="黑体" w:hAnsi="黑体" w:eastAsia="黑体" w:cs="黑体"/>
          <w:b/>
          <w:bCs/>
          <w:spacing w:val="8"/>
          <w:sz w:val="32"/>
          <w:szCs w:val="32"/>
          <w:highlight w:val="none"/>
          <w:lang w:eastAsia="zh-CN"/>
        </w:rPr>
        <w:t>10</w:t>
      </w:r>
      <w:r>
        <w:rPr>
          <w:rFonts w:hint="eastAsia" w:ascii="黑体" w:hAnsi="黑体" w:eastAsia="黑体" w:cs="黑体"/>
          <w:b/>
          <w:bCs/>
          <w:spacing w:val="8"/>
          <w:sz w:val="32"/>
          <w:szCs w:val="32"/>
          <w:highlight w:val="none"/>
          <w:lang w:eastAsia="zh-CN"/>
        </w:rPr>
        <w:t>003 癫痫发作急性期铁死亡相关基因水平以及神经元特异性烯醇化酶、中枢神经特异性蛋白的变化及临床监测价值的研究</w:t>
      </w:r>
    </w:p>
    <w:p w14:paraId="3534A8DE">
      <w:pPr>
        <w:spacing w:before="91" w:line="560" w:lineRule="exact"/>
        <w:ind w:right="248"/>
        <w:jc w:val="both"/>
        <w:outlineLvl w:val="0"/>
        <w:rPr>
          <w:rFonts w:ascii="仿宋_GB2312" w:hAnsi="仿宋_GB2312" w:eastAsia="仿宋_GB2312" w:cs="仿宋_GB2312"/>
          <w:spacing w:val="8"/>
          <w:sz w:val="32"/>
          <w:szCs w:val="32"/>
          <w:highlight w:val="none"/>
          <w:lang w:eastAsia="zh-CN"/>
        </w:rPr>
      </w:pPr>
      <w:r>
        <w:rPr>
          <w:rFonts w:hint="eastAsia" w:ascii="黑体" w:hAnsi="黑体" w:eastAsia="黑体" w:cs="黑体"/>
          <w:bCs/>
          <w:spacing w:val="8"/>
          <w:sz w:val="32"/>
          <w:szCs w:val="32"/>
          <w:highlight w:val="none"/>
          <w:lang w:eastAsia="zh-CN"/>
        </w:rPr>
        <w:t>一、领域：</w:t>
      </w:r>
      <w:r>
        <w:rPr>
          <w:rFonts w:hint="eastAsia" w:ascii="仿宋_GB2312" w:hAnsi="仿宋_GB2312" w:eastAsia="仿宋_GB2312" w:cs="仿宋_GB2312"/>
          <w:spacing w:val="8"/>
          <w:sz w:val="32"/>
          <w:szCs w:val="32"/>
          <w:highlight w:val="none"/>
          <w:lang w:eastAsia="zh-CN"/>
        </w:rPr>
        <w:t>癫痫临床监测</w:t>
      </w:r>
    </w:p>
    <w:p w14:paraId="403F09B7">
      <w:pPr>
        <w:pStyle w:val="3"/>
        <w:spacing w:before="47" w:line="560" w:lineRule="exact"/>
        <w:ind w:right="19"/>
        <w:jc w:val="both"/>
        <w:rPr>
          <w:rFonts w:ascii="黑体" w:hAnsi="黑体" w:eastAsia="黑体" w:cs="黑体"/>
          <w:bCs/>
          <w:spacing w:val="8"/>
          <w:sz w:val="32"/>
          <w:szCs w:val="32"/>
          <w:highlight w:val="none"/>
          <w:lang w:eastAsia="zh-CN"/>
        </w:rPr>
      </w:pPr>
      <w:r>
        <w:rPr>
          <w:rFonts w:hint="eastAsia" w:ascii="黑体" w:hAnsi="黑体" w:eastAsia="黑体" w:cs="黑体"/>
          <w:bCs/>
          <w:spacing w:val="8"/>
          <w:sz w:val="32"/>
          <w:szCs w:val="32"/>
          <w:highlight w:val="none"/>
          <w:lang w:eastAsia="zh-CN"/>
        </w:rPr>
        <w:t>二、主要研究内容</w:t>
      </w:r>
    </w:p>
    <w:p w14:paraId="5A546973">
      <w:pPr>
        <w:pStyle w:val="3"/>
        <w:spacing w:before="47" w:line="560" w:lineRule="exact"/>
        <w:ind w:right="19" w:firstLine="672" w:firstLineChars="200"/>
        <w:jc w:val="both"/>
        <w:rPr>
          <w:rFonts w:hint="eastAsia"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拟纳入80例癫痫患者作为研究对象，依据发作时相分为癫痫急性发作组与发作间期组。通过检测研究对象血浆中铁死亡关键因子以及神经损伤标志物神经元特异性烯醇化酶（NSE）和中枢神经特异性蛋白（S-100）的表达水平，探讨其在癫痫急性发作期的变化特征，采用ROC曲线分析评估各因子对癫痫急性发作的诊断效能，通过多因素回归分析明确影响患者预后的独立危险因素，为癫痫的病情评估与预后判断提供新的生物标志物依据。</w:t>
      </w:r>
    </w:p>
    <w:p w14:paraId="25783801">
      <w:pPr>
        <w:pStyle w:val="3"/>
        <w:spacing w:before="47" w:line="560" w:lineRule="exact"/>
        <w:ind w:right="19"/>
        <w:jc w:val="both"/>
        <w:rPr>
          <w:rFonts w:ascii="黑体" w:hAnsi="黑体" w:eastAsia="黑体" w:cs="黑体"/>
          <w:bCs/>
          <w:spacing w:val="8"/>
          <w:sz w:val="32"/>
          <w:szCs w:val="32"/>
          <w:highlight w:val="none"/>
          <w:lang w:eastAsia="zh-CN"/>
        </w:rPr>
      </w:pPr>
      <w:r>
        <w:rPr>
          <w:rFonts w:hint="eastAsia" w:ascii="黑体" w:hAnsi="黑体" w:eastAsia="黑体" w:cs="黑体"/>
          <w:bCs/>
          <w:spacing w:val="8"/>
          <w:sz w:val="32"/>
          <w:szCs w:val="32"/>
          <w:highlight w:val="none"/>
          <w:lang w:eastAsia="zh-CN"/>
        </w:rPr>
        <w:t>三、项目考核指标（项目执行期内）</w:t>
      </w:r>
    </w:p>
    <w:p w14:paraId="1009562F">
      <w:pPr>
        <w:pStyle w:val="3"/>
        <w:spacing w:before="47" w:line="560" w:lineRule="exact"/>
        <w:ind w:right="19" w:firstLine="672" w:firstLineChars="20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（一）学术指标：</w:t>
      </w:r>
    </w:p>
    <w:p w14:paraId="19E49B8C">
      <w:pPr>
        <w:pStyle w:val="3"/>
        <w:spacing w:before="47" w:line="560" w:lineRule="exact"/>
        <w:ind w:right="19" w:firstLine="672" w:firstLineChars="200"/>
        <w:jc w:val="both"/>
        <w:rPr>
          <w:rFonts w:hint="eastAsia"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发表中文或SCI论文≥1篇；</w:t>
      </w:r>
    </w:p>
    <w:p w14:paraId="04A806A8">
      <w:pPr>
        <w:pStyle w:val="3"/>
        <w:spacing w:before="47" w:line="560" w:lineRule="exact"/>
        <w:ind w:right="19" w:firstLine="672" w:firstLineChars="20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（二）技术指标：</w:t>
      </w:r>
    </w:p>
    <w:p w14:paraId="0E07B852">
      <w:pPr>
        <w:pStyle w:val="3"/>
        <w:spacing w:before="47" w:line="560" w:lineRule="exact"/>
        <w:ind w:right="19" w:firstLine="672" w:firstLineChars="200"/>
        <w:rPr>
          <w:rFonts w:hint="eastAsia" w:ascii="仿宋_GB2312" w:eastAsia="仿宋_GB2312"/>
          <w:snapToGrid/>
          <w:color w:val="auto"/>
          <w:spacing w:val="8"/>
          <w:sz w:val="32"/>
          <w:szCs w:val="32"/>
          <w:highlight w:val="none"/>
          <w:lang w:eastAsia="zh-CN"/>
        </w:rPr>
      </w:pPr>
      <w:r>
        <w:rPr>
          <w:rFonts w:hint="eastAsia" w:ascii="仿宋_GB2312" w:eastAsia="仿宋_GB2312"/>
          <w:spacing w:val="8"/>
          <w:sz w:val="32"/>
          <w:szCs w:val="32"/>
          <w:highlight w:val="none"/>
          <w:lang w:eastAsia="zh-CN"/>
        </w:rPr>
        <w:t>构建包含临床特征－分子标志物－预后参数的数据库，建立癫痫急性期诊断预测模型，并形成≥1份评估分析报告。</w:t>
      </w:r>
    </w:p>
    <w:p w14:paraId="47FB8630">
      <w:pPr>
        <w:pStyle w:val="3"/>
        <w:spacing w:before="47" w:line="560" w:lineRule="exact"/>
        <w:ind w:right="19"/>
        <w:jc w:val="both"/>
        <w:rPr>
          <w:rFonts w:ascii="仿宋_GB2312" w:hAnsi="仿宋_GB2312" w:eastAsia="仿宋_GB2312" w:cs="仿宋_GB2312"/>
          <w:spacing w:val="8"/>
          <w:sz w:val="32"/>
          <w:szCs w:val="32"/>
          <w:highlight w:val="none"/>
          <w:lang w:eastAsia="zh-CN"/>
        </w:rPr>
      </w:pPr>
      <w:r>
        <w:rPr>
          <w:rFonts w:hint="eastAsia" w:ascii="黑体" w:hAnsi="黑体" w:eastAsia="黑体" w:cs="黑体"/>
          <w:bCs/>
          <w:spacing w:val="8"/>
          <w:sz w:val="32"/>
          <w:szCs w:val="32"/>
          <w:highlight w:val="none"/>
          <w:lang w:eastAsia="zh-CN"/>
        </w:rPr>
        <w:t>四、项目实施年限：</w:t>
      </w:r>
      <w:r>
        <w:rPr>
          <w:rFonts w:hint="eastAsia" w:ascii="仿宋_GB2312" w:hAnsi="仿宋_GB2312" w:eastAsia="仿宋_GB2312" w:cs="仿宋_GB2312"/>
          <w:spacing w:val="8"/>
          <w:sz w:val="32"/>
          <w:szCs w:val="32"/>
          <w:highlight w:val="none"/>
          <w:lang w:eastAsia="zh-CN"/>
        </w:rPr>
        <w:t>不超过</w:t>
      </w:r>
      <w:r>
        <w:rPr>
          <w:rFonts w:hint="eastAsia" w:ascii="仿宋_GB2312" w:hAnsi="仿宋_GB2312" w:eastAsia="仿宋_GB2312" w:cs="仿宋_GB2312"/>
          <w:spacing w:val="8"/>
          <w:sz w:val="32"/>
          <w:szCs w:val="32"/>
          <w:highlight w:val="none"/>
          <w:lang w:val="en-US" w:eastAsia="zh-CN"/>
        </w:rPr>
        <w:t>2</w:t>
      </w:r>
      <w:r>
        <w:rPr>
          <w:rFonts w:hint="eastAsia" w:ascii="仿宋_GB2312" w:hAnsi="仿宋_GB2312" w:eastAsia="仿宋_GB2312" w:cs="仿宋_GB2312"/>
          <w:spacing w:val="8"/>
          <w:sz w:val="32"/>
          <w:szCs w:val="32"/>
          <w:highlight w:val="none"/>
          <w:lang w:eastAsia="zh-CN"/>
        </w:rPr>
        <w:t>年</w:t>
      </w:r>
    </w:p>
    <w:p w14:paraId="517C4C3E">
      <w:pPr>
        <w:pStyle w:val="3"/>
        <w:spacing w:before="47" w:line="560" w:lineRule="exact"/>
        <w:ind w:right="19"/>
        <w:jc w:val="both"/>
        <w:rPr>
          <w:rFonts w:ascii="仿宋_GB2312" w:hAnsi="仿宋_GB2312" w:eastAsia="仿宋_GB2312" w:cs="仿宋_GB2312"/>
          <w:spacing w:val="8"/>
          <w:sz w:val="32"/>
          <w:szCs w:val="32"/>
          <w:highlight w:val="none"/>
          <w:lang w:eastAsia="zh-CN"/>
        </w:rPr>
      </w:pPr>
      <w:r>
        <w:rPr>
          <w:rFonts w:hint="eastAsia" w:ascii="黑体" w:hAnsi="黑体" w:eastAsia="黑体" w:cs="黑体"/>
          <w:bCs/>
          <w:spacing w:val="8"/>
          <w:sz w:val="32"/>
          <w:szCs w:val="32"/>
          <w:highlight w:val="none"/>
          <w:lang w:eastAsia="zh-CN"/>
        </w:rPr>
        <w:t>五、资助金额：</w:t>
      </w:r>
      <w:r>
        <w:rPr>
          <w:rFonts w:hint="eastAsia" w:ascii="仿宋_GB2312" w:hAnsi="仿宋_GB2312" w:eastAsia="仿宋_GB2312" w:cs="仿宋_GB2312"/>
          <w:spacing w:val="8"/>
          <w:sz w:val="32"/>
          <w:szCs w:val="32"/>
          <w:highlight w:val="none"/>
          <w:lang w:eastAsia="zh-CN"/>
        </w:rPr>
        <w:t>不超过</w:t>
      </w:r>
      <w:r>
        <w:rPr>
          <w:rFonts w:ascii="仿宋_GB2312" w:hAnsi="仿宋_GB2312" w:eastAsia="仿宋_GB2312" w:cs="仿宋_GB2312"/>
          <w:spacing w:val="8"/>
          <w:sz w:val="32"/>
          <w:szCs w:val="32"/>
          <w:highlight w:val="none"/>
          <w:lang w:eastAsia="zh-CN"/>
        </w:rPr>
        <w:t>20</w:t>
      </w:r>
      <w:r>
        <w:rPr>
          <w:rFonts w:hint="eastAsia" w:ascii="仿宋_GB2312" w:hAnsi="仿宋_GB2312" w:eastAsia="仿宋_GB2312" w:cs="仿宋_GB2312"/>
          <w:spacing w:val="8"/>
          <w:sz w:val="32"/>
          <w:szCs w:val="32"/>
          <w:highlight w:val="none"/>
          <w:lang w:eastAsia="zh-CN"/>
        </w:rPr>
        <w:t>万元</w:t>
      </w:r>
    </w:p>
    <w:p w14:paraId="5C2884EF">
      <w:pPr>
        <w:pStyle w:val="3"/>
        <w:spacing w:before="47" w:line="560" w:lineRule="exact"/>
        <w:ind w:right="19"/>
        <w:jc w:val="center"/>
        <w:rPr>
          <w:rFonts w:ascii="仿宋_GB2312" w:hAnsi="仿宋_GB2312" w:eastAsia="仿宋_GB2312" w:cs="仿宋_GB2312"/>
          <w:b/>
          <w:bCs/>
          <w:spacing w:val="8"/>
          <w:sz w:val="32"/>
          <w:szCs w:val="32"/>
          <w:highlight w:val="none"/>
          <w:lang w:eastAsia="zh-CN"/>
        </w:rPr>
      </w:pPr>
      <w:r>
        <w:rPr>
          <w:rFonts w:hint="eastAsia" w:ascii="黑体" w:hAnsi="黑体" w:eastAsia="黑体" w:cs="黑体"/>
          <w:b/>
          <w:bCs/>
          <w:spacing w:val="8"/>
          <w:sz w:val="32"/>
          <w:szCs w:val="32"/>
          <w:highlight w:val="none"/>
          <w:lang w:eastAsia="zh-CN"/>
        </w:rPr>
        <w:t>面2025</w:t>
      </w:r>
      <w:r>
        <w:rPr>
          <w:rFonts w:ascii="黑体" w:hAnsi="黑体" w:eastAsia="黑体" w:cs="黑体"/>
          <w:b/>
          <w:bCs/>
          <w:spacing w:val="8"/>
          <w:sz w:val="32"/>
          <w:szCs w:val="32"/>
          <w:highlight w:val="none"/>
          <w:lang w:eastAsia="zh-CN"/>
        </w:rPr>
        <w:t>10</w:t>
      </w:r>
      <w:r>
        <w:rPr>
          <w:rFonts w:hint="eastAsia" w:ascii="黑体" w:hAnsi="黑体" w:eastAsia="黑体" w:cs="黑体"/>
          <w:b/>
          <w:bCs/>
          <w:spacing w:val="8"/>
          <w:sz w:val="32"/>
          <w:szCs w:val="32"/>
          <w:highlight w:val="none"/>
          <w:lang w:eastAsia="zh-CN"/>
        </w:rPr>
        <w:t>004 超声剪切波弹性成像在颈椎病水射流治疗中的应用研究</w:t>
      </w:r>
    </w:p>
    <w:p w14:paraId="41EA8BD9">
      <w:pPr>
        <w:pStyle w:val="3"/>
        <w:spacing w:before="47" w:line="560" w:lineRule="exact"/>
        <w:ind w:left="720" w:right="19" w:hanging="720"/>
        <w:jc w:val="both"/>
        <w:rPr>
          <w:rFonts w:ascii="仿宋_GB2312" w:hAnsi="仿宋_GB2312" w:eastAsia="仿宋_GB2312" w:cs="仿宋_GB2312"/>
          <w:spacing w:val="8"/>
          <w:sz w:val="32"/>
          <w:szCs w:val="32"/>
          <w:highlight w:val="none"/>
          <w:lang w:eastAsia="zh-CN"/>
        </w:rPr>
      </w:pPr>
      <w:r>
        <w:rPr>
          <w:rFonts w:hint="eastAsia" w:ascii="黑体" w:hAnsi="黑体" w:eastAsia="黑体" w:cs="黑体"/>
          <w:spacing w:val="8"/>
          <w:sz w:val="32"/>
          <w:szCs w:val="32"/>
          <w:highlight w:val="none"/>
          <w:lang w:eastAsia="zh-CN"/>
        </w:rPr>
        <w:t>一、领域：</w:t>
      </w:r>
      <w:r>
        <w:rPr>
          <w:rFonts w:hint="eastAsia" w:ascii="仿宋_GB2312" w:hAnsi="仿宋_GB2312" w:eastAsia="仿宋_GB2312" w:cs="仿宋_GB2312"/>
          <w:spacing w:val="8"/>
          <w:sz w:val="32"/>
          <w:szCs w:val="32"/>
          <w:highlight w:val="none"/>
          <w:lang w:eastAsia="zh-CN"/>
        </w:rPr>
        <w:t>疼痛治疗</w:t>
      </w:r>
    </w:p>
    <w:p w14:paraId="6427AFF0">
      <w:pPr>
        <w:pStyle w:val="3"/>
        <w:spacing w:before="47" w:line="560" w:lineRule="exact"/>
        <w:ind w:left="720" w:right="19" w:hanging="720"/>
        <w:jc w:val="both"/>
        <w:rPr>
          <w:rFonts w:ascii="黑体" w:hAnsi="黑体" w:eastAsia="黑体" w:cs="黑体"/>
          <w:spacing w:val="8"/>
          <w:sz w:val="32"/>
          <w:szCs w:val="32"/>
          <w:highlight w:val="none"/>
          <w:lang w:eastAsia="zh-CN"/>
        </w:rPr>
      </w:pPr>
      <w:r>
        <w:rPr>
          <w:rFonts w:hint="eastAsia" w:ascii="黑体" w:hAnsi="黑体" w:eastAsia="黑体" w:cs="黑体"/>
          <w:spacing w:val="8"/>
          <w:sz w:val="32"/>
          <w:szCs w:val="32"/>
          <w:highlight w:val="none"/>
          <w:lang w:eastAsia="zh-CN"/>
        </w:rPr>
        <w:t>二、主要研究内容</w:t>
      </w:r>
    </w:p>
    <w:p w14:paraId="4D6E3061">
      <w:pPr>
        <w:pStyle w:val="3"/>
        <w:spacing w:before="47" w:line="560" w:lineRule="exact"/>
        <w:ind w:right="19" w:firstLine="672" w:firstLineChars="200"/>
        <w:jc w:val="both"/>
        <w:rPr>
          <w:rFonts w:hint="eastAsia"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颈椎病作为全球致残率最高的慢性疾病之一，其病理机制涉及椎动脉血流动力学异常与肌肉软组织纤维化双重改变。超声剪切波弹性成像作为无创定量评估技术，通过测量剪切波传播速度可精准量化肌肉硬度变化，为疗效评估提供客观依据。本研究通过超声剪切波弹性成像、血流动力学监测、临床症状评估及血清学检测多个维度，系统评估水射流治疗对颈椎病患者椎动脉、肌肉软组织及全身影响的综合疗效。</w:t>
      </w:r>
    </w:p>
    <w:p w14:paraId="23111104">
      <w:pPr>
        <w:pStyle w:val="3"/>
        <w:spacing w:before="47" w:line="560" w:lineRule="exact"/>
        <w:ind w:right="19" w:firstLine="0" w:firstLineChars="0"/>
        <w:jc w:val="both"/>
        <w:rPr>
          <w:rFonts w:ascii="黑体" w:hAnsi="黑体" w:eastAsia="黑体" w:cs="黑体"/>
          <w:spacing w:val="8"/>
          <w:sz w:val="32"/>
          <w:szCs w:val="32"/>
          <w:highlight w:val="none"/>
          <w:lang w:eastAsia="zh-CN"/>
        </w:rPr>
      </w:pPr>
      <w:r>
        <w:rPr>
          <w:rFonts w:hint="eastAsia" w:ascii="黑体" w:hAnsi="黑体" w:eastAsia="黑体" w:cs="黑体"/>
          <w:spacing w:val="8"/>
          <w:sz w:val="32"/>
          <w:szCs w:val="32"/>
          <w:highlight w:val="none"/>
          <w:lang w:eastAsia="zh-CN"/>
        </w:rPr>
        <w:t>三、项目考核指标（项目执行期内）</w:t>
      </w:r>
    </w:p>
    <w:p w14:paraId="4D7BA0B4">
      <w:pPr>
        <w:pStyle w:val="3"/>
        <w:spacing w:before="47" w:line="560" w:lineRule="exact"/>
        <w:ind w:right="19" w:firstLine="672" w:firstLineChars="20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（一）学术指标：</w:t>
      </w:r>
    </w:p>
    <w:p w14:paraId="3409268B">
      <w:pPr>
        <w:pStyle w:val="3"/>
        <w:spacing w:before="47" w:line="560" w:lineRule="exact"/>
        <w:ind w:right="19" w:firstLine="672" w:firstLineChars="200"/>
        <w:jc w:val="both"/>
        <w:rPr>
          <w:rFonts w:hint="eastAsia"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发表中文或SCI论文≥1篇；</w:t>
      </w:r>
    </w:p>
    <w:p w14:paraId="49B01084">
      <w:pPr>
        <w:pStyle w:val="3"/>
        <w:spacing w:before="47" w:line="560" w:lineRule="exact"/>
        <w:ind w:right="19" w:firstLine="672" w:firstLineChars="20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（二）技术指标：</w:t>
      </w:r>
    </w:p>
    <w:p w14:paraId="189C4824">
      <w:pPr>
        <w:pStyle w:val="3"/>
        <w:spacing w:before="47" w:line="560" w:lineRule="exact"/>
        <w:ind w:right="19" w:firstLine="672" w:firstLineChars="20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通过治疗前后效果评估及远期随访，结合颈部运动测试，采用超声弹性成像监测椎动脉血流及肌肉弹性，并同步检测生命体征、心理量表、血清指标和脑血氧变化，全面评估水射流治疗效果</w:t>
      </w:r>
      <w:r>
        <w:rPr>
          <w:rFonts w:hint="eastAsia" w:ascii="仿宋_GB2312" w:hAnsi="仿宋_GB2312" w:eastAsia="仿宋_GB2312" w:cs="仿宋_GB2312"/>
          <w:spacing w:val="8"/>
          <w:sz w:val="32"/>
          <w:szCs w:val="32"/>
          <w:highlight w:val="none"/>
          <w:lang w:val="en-US" w:eastAsia="zh-CN"/>
        </w:rPr>
        <w:t>并形成≥1份项目评估报告。</w:t>
      </w:r>
    </w:p>
    <w:p w14:paraId="00124D76">
      <w:pPr>
        <w:pStyle w:val="3"/>
        <w:spacing w:before="47" w:line="560" w:lineRule="exact"/>
        <w:ind w:right="19"/>
        <w:jc w:val="both"/>
        <w:rPr>
          <w:rFonts w:ascii="仿宋_GB2312" w:hAnsi="仿宋_GB2312" w:eastAsia="仿宋_GB2312" w:cs="仿宋_GB2312"/>
          <w:spacing w:val="8"/>
          <w:sz w:val="32"/>
          <w:szCs w:val="32"/>
          <w:highlight w:val="none"/>
          <w:lang w:eastAsia="zh-CN"/>
        </w:rPr>
      </w:pPr>
      <w:r>
        <w:rPr>
          <w:rFonts w:hint="eastAsia" w:ascii="黑体" w:hAnsi="黑体" w:eastAsia="黑体" w:cs="黑体"/>
          <w:spacing w:val="8"/>
          <w:sz w:val="32"/>
          <w:szCs w:val="32"/>
          <w:highlight w:val="none"/>
          <w:lang w:eastAsia="zh-CN"/>
        </w:rPr>
        <w:t>四、项目实施年限：</w:t>
      </w:r>
      <w:r>
        <w:rPr>
          <w:rFonts w:hint="eastAsia" w:ascii="仿宋_GB2312" w:hAnsi="仿宋_GB2312" w:eastAsia="仿宋_GB2312" w:cs="仿宋_GB2312"/>
          <w:spacing w:val="8"/>
          <w:sz w:val="32"/>
          <w:szCs w:val="32"/>
          <w:highlight w:val="none"/>
          <w:lang w:eastAsia="zh-CN"/>
        </w:rPr>
        <w:t>不超过2年</w:t>
      </w:r>
    </w:p>
    <w:p w14:paraId="3EBC6B91">
      <w:pPr>
        <w:pStyle w:val="3"/>
        <w:spacing w:before="47" w:line="560" w:lineRule="exact"/>
        <w:ind w:right="19"/>
        <w:jc w:val="both"/>
        <w:rPr>
          <w:rFonts w:ascii="仿宋_GB2312" w:hAnsi="仿宋_GB2312" w:eastAsia="仿宋_GB2312" w:cs="仿宋_GB2312"/>
          <w:spacing w:val="8"/>
          <w:sz w:val="32"/>
          <w:szCs w:val="32"/>
          <w:highlight w:val="none"/>
          <w:lang w:eastAsia="zh-CN"/>
        </w:rPr>
      </w:pPr>
      <w:r>
        <w:rPr>
          <w:rFonts w:hint="eastAsia" w:ascii="黑体" w:hAnsi="黑体" w:eastAsia="黑体" w:cs="黑体"/>
          <w:spacing w:val="8"/>
          <w:sz w:val="32"/>
          <w:szCs w:val="32"/>
          <w:highlight w:val="none"/>
          <w:lang w:eastAsia="zh-CN"/>
        </w:rPr>
        <w:t>五、资助金额：</w:t>
      </w:r>
      <w:r>
        <w:rPr>
          <w:rFonts w:hint="eastAsia" w:ascii="仿宋_GB2312" w:hAnsi="仿宋_GB2312" w:eastAsia="仿宋_GB2312" w:cs="仿宋_GB2312"/>
          <w:spacing w:val="8"/>
          <w:sz w:val="32"/>
          <w:szCs w:val="32"/>
          <w:highlight w:val="none"/>
          <w:lang w:eastAsia="zh-CN"/>
        </w:rPr>
        <w:t>不超过</w:t>
      </w:r>
      <w:r>
        <w:rPr>
          <w:rFonts w:ascii="仿宋_GB2312" w:hAnsi="仿宋_GB2312" w:eastAsia="仿宋_GB2312" w:cs="仿宋_GB2312"/>
          <w:spacing w:val="8"/>
          <w:sz w:val="32"/>
          <w:szCs w:val="32"/>
          <w:highlight w:val="none"/>
          <w:lang w:eastAsia="zh-CN"/>
        </w:rPr>
        <w:t>2</w:t>
      </w:r>
      <w:r>
        <w:rPr>
          <w:rFonts w:hint="eastAsia" w:ascii="仿宋_GB2312" w:hAnsi="仿宋_GB2312" w:eastAsia="仿宋_GB2312" w:cs="仿宋_GB2312"/>
          <w:spacing w:val="8"/>
          <w:sz w:val="32"/>
          <w:szCs w:val="32"/>
          <w:highlight w:val="none"/>
          <w:lang w:eastAsia="zh-CN"/>
        </w:rPr>
        <w:t>0万元</w:t>
      </w:r>
    </w:p>
    <w:p w14:paraId="7E426E15">
      <w:pPr>
        <w:pStyle w:val="3"/>
        <w:spacing w:before="47" w:line="560" w:lineRule="exact"/>
        <w:ind w:right="19"/>
        <w:jc w:val="center"/>
        <w:rPr>
          <w:rFonts w:ascii="仿宋_GB2312" w:hAnsi="仿宋_GB2312" w:eastAsia="仿宋_GB2312" w:cs="仿宋_GB2312"/>
          <w:spacing w:val="8"/>
          <w:sz w:val="32"/>
          <w:szCs w:val="32"/>
          <w:highlight w:val="none"/>
          <w:lang w:eastAsia="zh-CN"/>
        </w:rPr>
      </w:pPr>
      <w:r>
        <w:rPr>
          <w:rFonts w:hint="eastAsia" w:ascii="黑体" w:hAnsi="黑体" w:eastAsia="黑体" w:cs="黑体"/>
          <w:b/>
          <w:bCs/>
          <w:spacing w:val="8"/>
          <w:sz w:val="32"/>
          <w:szCs w:val="32"/>
          <w:highlight w:val="none"/>
          <w:lang w:eastAsia="zh-CN"/>
        </w:rPr>
        <w:t>面2025</w:t>
      </w:r>
      <w:r>
        <w:rPr>
          <w:rFonts w:ascii="黑体" w:hAnsi="黑体" w:eastAsia="黑体" w:cs="黑体"/>
          <w:b/>
          <w:bCs/>
          <w:spacing w:val="8"/>
          <w:sz w:val="32"/>
          <w:szCs w:val="32"/>
          <w:highlight w:val="none"/>
          <w:lang w:eastAsia="zh-CN"/>
        </w:rPr>
        <w:t>10</w:t>
      </w:r>
      <w:r>
        <w:rPr>
          <w:rFonts w:hint="eastAsia" w:ascii="黑体" w:hAnsi="黑体" w:eastAsia="黑体" w:cs="黑体"/>
          <w:b/>
          <w:bCs/>
          <w:spacing w:val="8"/>
          <w:sz w:val="32"/>
          <w:szCs w:val="32"/>
          <w:highlight w:val="none"/>
          <w:lang w:eastAsia="zh-CN"/>
        </w:rPr>
        <w:t>00</w:t>
      </w:r>
      <w:r>
        <w:rPr>
          <w:rFonts w:ascii="黑体" w:hAnsi="黑体" w:eastAsia="黑体" w:cs="黑体"/>
          <w:b/>
          <w:bCs/>
          <w:spacing w:val="8"/>
          <w:sz w:val="32"/>
          <w:szCs w:val="32"/>
          <w:highlight w:val="none"/>
          <w:lang w:eastAsia="zh-CN"/>
        </w:rPr>
        <w:t>5</w:t>
      </w:r>
      <w:r>
        <w:rPr>
          <w:rFonts w:hint="eastAsia" w:ascii="黑体" w:hAnsi="黑体" w:eastAsia="黑体" w:cs="黑体"/>
          <w:b/>
          <w:bCs/>
          <w:spacing w:val="8"/>
          <w:sz w:val="32"/>
          <w:szCs w:val="32"/>
          <w:highlight w:val="none"/>
          <w:lang w:eastAsia="zh-CN"/>
        </w:rPr>
        <w:t xml:space="preserve"> 新型传染性疾病标志物在传染病诊断、用药及预后的临床应用研究</w:t>
      </w:r>
    </w:p>
    <w:p w14:paraId="3F67478B">
      <w:pPr>
        <w:pStyle w:val="3"/>
        <w:spacing w:before="47" w:line="560" w:lineRule="exact"/>
        <w:ind w:right="19"/>
        <w:jc w:val="both"/>
        <w:rPr>
          <w:rFonts w:ascii="仿宋_GB2312" w:hAnsi="仿宋_GB2312" w:eastAsia="仿宋_GB2312" w:cs="仿宋_GB2312"/>
          <w:spacing w:val="8"/>
          <w:sz w:val="32"/>
          <w:szCs w:val="32"/>
          <w:highlight w:val="none"/>
          <w:lang w:eastAsia="zh-CN"/>
        </w:rPr>
      </w:pPr>
      <w:r>
        <w:rPr>
          <w:rFonts w:hint="eastAsia" w:ascii="黑体" w:hAnsi="黑体" w:eastAsia="黑体" w:cs="黑体"/>
          <w:spacing w:val="8"/>
          <w:sz w:val="32"/>
          <w:szCs w:val="32"/>
          <w:highlight w:val="none"/>
          <w:lang w:eastAsia="zh-CN"/>
        </w:rPr>
        <w:t>一、领域：</w:t>
      </w:r>
      <w:r>
        <w:rPr>
          <w:rFonts w:hint="eastAsia" w:ascii="仿宋_GB2312" w:hAnsi="仿宋_GB2312" w:eastAsia="仿宋_GB2312" w:cs="仿宋_GB2312"/>
          <w:bCs/>
          <w:spacing w:val="8"/>
          <w:sz w:val="32"/>
          <w:szCs w:val="32"/>
          <w:highlight w:val="none"/>
          <w:lang w:eastAsia="zh-CN"/>
        </w:rPr>
        <w:t>传染性疾病临床研究</w:t>
      </w:r>
    </w:p>
    <w:p w14:paraId="58A29899">
      <w:pPr>
        <w:pStyle w:val="3"/>
        <w:spacing w:before="47" w:line="560" w:lineRule="exact"/>
        <w:ind w:right="19"/>
        <w:jc w:val="both"/>
        <w:rPr>
          <w:rFonts w:ascii="黑体" w:hAnsi="黑体" w:eastAsia="黑体" w:cs="黑体"/>
          <w:spacing w:val="8"/>
          <w:sz w:val="32"/>
          <w:szCs w:val="32"/>
          <w:highlight w:val="none"/>
          <w:lang w:eastAsia="zh-CN"/>
        </w:rPr>
      </w:pPr>
      <w:r>
        <w:rPr>
          <w:rFonts w:hint="eastAsia" w:ascii="黑体" w:hAnsi="黑体" w:eastAsia="黑体" w:cs="黑体"/>
          <w:spacing w:val="8"/>
          <w:sz w:val="32"/>
          <w:szCs w:val="32"/>
          <w:highlight w:val="none"/>
          <w:lang w:eastAsia="zh-CN"/>
        </w:rPr>
        <w:t>二、主要研究内容</w:t>
      </w:r>
    </w:p>
    <w:p w14:paraId="55590799">
      <w:pPr>
        <w:pStyle w:val="3"/>
        <w:spacing w:line="560" w:lineRule="exact"/>
        <w:ind w:firstLine="672" w:firstLineChars="20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围绕传染性疾病患者全程管理的临床诊疗需求，通过新型传染性疾病标志物（HBcrAg等）与其他标志物联合建立诊断、停药后复发及并发症发生的预测模型，对患者进行风险分层，辅助决策患者是否需要接受针对性治疗及评估患者的治疗效果，为停药决策提供精准判断依据。</w:t>
      </w:r>
    </w:p>
    <w:p w14:paraId="2FA701EE">
      <w:pPr>
        <w:pStyle w:val="3"/>
        <w:spacing w:before="47" w:line="560" w:lineRule="exact"/>
        <w:ind w:left="720" w:right="19" w:hanging="720"/>
        <w:jc w:val="both"/>
        <w:rPr>
          <w:rFonts w:ascii="黑体" w:hAnsi="黑体" w:eastAsia="黑体" w:cs="黑体"/>
          <w:spacing w:val="8"/>
          <w:sz w:val="32"/>
          <w:szCs w:val="32"/>
          <w:highlight w:val="none"/>
          <w:lang w:eastAsia="zh-CN"/>
        </w:rPr>
      </w:pPr>
      <w:r>
        <w:rPr>
          <w:rFonts w:hint="eastAsia" w:ascii="黑体" w:hAnsi="黑体" w:eastAsia="黑体" w:cs="黑体"/>
          <w:spacing w:val="8"/>
          <w:sz w:val="32"/>
          <w:szCs w:val="32"/>
          <w:highlight w:val="none"/>
          <w:lang w:eastAsia="zh-CN"/>
        </w:rPr>
        <w:t>三、项目考核指标（项目执行期内）</w:t>
      </w:r>
    </w:p>
    <w:p w14:paraId="3554B9F5">
      <w:pPr>
        <w:pStyle w:val="3"/>
        <w:spacing w:before="47" w:line="560" w:lineRule="exact"/>
        <w:ind w:right="19" w:firstLine="672" w:firstLineChars="20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（一）学术指标：</w:t>
      </w:r>
    </w:p>
    <w:p w14:paraId="6A0205B5">
      <w:pPr>
        <w:pStyle w:val="3"/>
        <w:spacing w:before="47" w:line="560" w:lineRule="exact"/>
        <w:ind w:right="19" w:firstLine="672" w:firstLineChars="200"/>
        <w:jc w:val="both"/>
        <w:rPr>
          <w:rFonts w:hint="eastAsia"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发表中文或SCI论文≥1篇；</w:t>
      </w:r>
    </w:p>
    <w:p w14:paraId="0BB0A3A4">
      <w:pPr>
        <w:pStyle w:val="3"/>
        <w:spacing w:before="47" w:line="560" w:lineRule="exact"/>
        <w:ind w:right="19" w:firstLine="672" w:firstLineChars="20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（二）技术指标：</w:t>
      </w:r>
    </w:p>
    <w:p w14:paraId="731F8E79">
      <w:pPr>
        <w:pStyle w:val="3"/>
        <w:spacing w:before="47" w:line="560" w:lineRule="exact"/>
        <w:ind w:right="19" w:firstLine="672" w:firstLineChars="20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通过新型传染性疾病标志物（HBcrAg等）与其他标志物联合建立诊断、停药后复发及并发症发生的预测模型形成≥1份</w:t>
      </w:r>
      <w:r>
        <w:rPr>
          <w:rFonts w:hint="eastAsia" w:ascii="仿宋_GB2312" w:hAnsi="仿宋_GB2312" w:eastAsia="仿宋_GB2312" w:cs="仿宋_GB2312"/>
          <w:spacing w:val="8"/>
          <w:sz w:val="32"/>
          <w:szCs w:val="32"/>
          <w:highlight w:val="none"/>
          <w:lang w:val="en-US" w:eastAsia="zh-CN"/>
        </w:rPr>
        <w:t>项目</w:t>
      </w:r>
      <w:r>
        <w:rPr>
          <w:rFonts w:hint="eastAsia" w:ascii="仿宋_GB2312" w:hAnsi="仿宋_GB2312" w:eastAsia="仿宋_GB2312" w:cs="仿宋_GB2312"/>
          <w:spacing w:val="8"/>
          <w:sz w:val="32"/>
          <w:szCs w:val="32"/>
          <w:highlight w:val="none"/>
          <w:lang w:eastAsia="zh-CN"/>
        </w:rPr>
        <w:t>分析报告。</w:t>
      </w:r>
    </w:p>
    <w:p w14:paraId="31CBED21">
      <w:pPr>
        <w:pStyle w:val="3"/>
        <w:spacing w:before="47" w:line="560" w:lineRule="exact"/>
        <w:ind w:right="19"/>
        <w:jc w:val="both"/>
        <w:rPr>
          <w:rFonts w:ascii="仿宋_GB2312" w:hAnsi="仿宋_GB2312" w:eastAsia="仿宋_GB2312" w:cs="仿宋_GB2312"/>
          <w:spacing w:val="8"/>
          <w:sz w:val="32"/>
          <w:szCs w:val="32"/>
          <w:highlight w:val="none"/>
          <w:lang w:eastAsia="zh-CN"/>
        </w:rPr>
      </w:pPr>
      <w:r>
        <w:rPr>
          <w:rFonts w:hint="eastAsia" w:ascii="黑体" w:hAnsi="黑体" w:eastAsia="黑体" w:cs="黑体"/>
          <w:spacing w:val="8"/>
          <w:sz w:val="32"/>
          <w:szCs w:val="32"/>
          <w:highlight w:val="none"/>
          <w:lang w:eastAsia="zh-CN"/>
        </w:rPr>
        <w:t>四、项目实施年限：</w:t>
      </w:r>
      <w:r>
        <w:rPr>
          <w:rFonts w:hint="eastAsia" w:ascii="仿宋_GB2312" w:hAnsi="仿宋_GB2312" w:eastAsia="仿宋_GB2312" w:cs="仿宋_GB2312"/>
          <w:spacing w:val="8"/>
          <w:sz w:val="32"/>
          <w:szCs w:val="32"/>
          <w:highlight w:val="none"/>
          <w:lang w:eastAsia="zh-CN"/>
        </w:rPr>
        <w:t>不超过2年</w:t>
      </w:r>
    </w:p>
    <w:p w14:paraId="1828DB8A">
      <w:pPr>
        <w:pStyle w:val="3"/>
        <w:spacing w:before="47" w:line="560" w:lineRule="exact"/>
        <w:ind w:right="19"/>
        <w:jc w:val="both"/>
        <w:rPr>
          <w:rFonts w:ascii="仿宋_GB2312" w:hAnsi="仿宋_GB2312" w:eastAsia="仿宋_GB2312" w:cs="仿宋_GB2312"/>
          <w:spacing w:val="8"/>
          <w:sz w:val="32"/>
          <w:szCs w:val="32"/>
          <w:highlight w:val="none"/>
          <w:lang w:eastAsia="zh-CN"/>
        </w:rPr>
      </w:pPr>
      <w:r>
        <w:rPr>
          <w:rFonts w:hint="eastAsia" w:ascii="黑体" w:hAnsi="黑体" w:eastAsia="黑体" w:cs="黑体"/>
          <w:spacing w:val="8"/>
          <w:sz w:val="32"/>
          <w:szCs w:val="32"/>
          <w:highlight w:val="none"/>
          <w:lang w:eastAsia="zh-CN"/>
        </w:rPr>
        <w:t>五、资助金额：</w:t>
      </w:r>
      <w:r>
        <w:rPr>
          <w:rFonts w:hint="eastAsia" w:ascii="仿宋_GB2312" w:hAnsi="仿宋_GB2312" w:eastAsia="仿宋_GB2312" w:cs="仿宋_GB2312"/>
          <w:spacing w:val="8"/>
          <w:sz w:val="32"/>
          <w:szCs w:val="32"/>
          <w:highlight w:val="none"/>
          <w:lang w:eastAsia="zh-CN"/>
        </w:rPr>
        <w:t>不超过10万元</w:t>
      </w:r>
    </w:p>
    <w:p w14:paraId="1AF907F6">
      <w:pPr>
        <w:pStyle w:val="3"/>
        <w:spacing w:before="47" w:line="560" w:lineRule="exact"/>
        <w:ind w:right="19"/>
        <w:jc w:val="both"/>
        <w:rPr>
          <w:rFonts w:ascii="仿宋_GB2312" w:hAnsi="仿宋_GB2312" w:eastAsia="仿宋_GB2312" w:cs="仿宋_GB2312"/>
          <w:spacing w:val="8"/>
          <w:sz w:val="32"/>
          <w:szCs w:val="32"/>
          <w:highlight w:val="none"/>
          <w:lang w:eastAsia="zh-CN"/>
        </w:rPr>
      </w:pPr>
    </w:p>
    <w:p w14:paraId="41E40F1D">
      <w:pPr>
        <w:pStyle w:val="3"/>
        <w:spacing w:before="47" w:line="560" w:lineRule="exact"/>
        <w:ind w:right="19"/>
        <w:jc w:val="both"/>
        <w:rPr>
          <w:rFonts w:ascii="仿宋_GB2312" w:hAnsi="仿宋_GB2312" w:eastAsia="仿宋_GB2312" w:cs="仿宋_GB2312"/>
          <w:spacing w:val="8"/>
          <w:sz w:val="32"/>
          <w:szCs w:val="32"/>
          <w:highlight w:val="none"/>
          <w:lang w:eastAsia="zh-CN"/>
        </w:rPr>
      </w:pPr>
    </w:p>
    <w:p w14:paraId="3BFFE76D">
      <w:pPr>
        <w:pStyle w:val="3"/>
        <w:spacing w:before="47" w:line="560" w:lineRule="exact"/>
        <w:ind w:right="19"/>
        <w:jc w:val="both"/>
        <w:rPr>
          <w:rFonts w:ascii="仿宋_GB2312" w:hAnsi="仿宋_GB2312" w:eastAsia="仿宋_GB2312" w:cs="仿宋_GB2312"/>
          <w:spacing w:val="8"/>
          <w:sz w:val="32"/>
          <w:szCs w:val="32"/>
          <w:highlight w:val="none"/>
          <w:lang w:eastAsia="zh-CN"/>
        </w:rPr>
      </w:pPr>
    </w:p>
    <w:p w14:paraId="59F84C9B">
      <w:pPr>
        <w:pStyle w:val="3"/>
        <w:spacing w:before="47" w:line="560" w:lineRule="exact"/>
        <w:ind w:right="19"/>
        <w:jc w:val="center"/>
        <w:rPr>
          <w:rFonts w:ascii="仿宋_GB2312" w:hAnsi="仿宋_GB2312" w:eastAsia="仿宋_GB2312" w:cs="仿宋_GB2312"/>
          <w:b/>
          <w:bCs/>
          <w:spacing w:val="8"/>
          <w:sz w:val="32"/>
          <w:szCs w:val="32"/>
          <w:highlight w:val="none"/>
          <w:lang w:eastAsia="zh-CN"/>
        </w:rPr>
      </w:pPr>
      <w:r>
        <w:rPr>
          <w:rFonts w:hint="eastAsia" w:ascii="黑体" w:hAnsi="黑体" w:eastAsia="黑体" w:cs="黑体"/>
          <w:b/>
          <w:bCs/>
          <w:spacing w:val="8"/>
          <w:sz w:val="32"/>
          <w:szCs w:val="32"/>
          <w:highlight w:val="none"/>
          <w:lang w:eastAsia="zh-CN"/>
        </w:rPr>
        <w:t>面2025</w:t>
      </w:r>
      <w:r>
        <w:rPr>
          <w:rFonts w:ascii="黑体" w:hAnsi="黑体" w:eastAsia="黑体" w:cs="黑体"/>
          <w:b/>
          <w:bCs/>
          <w:spacing w:val="8"/>
          <w:sz w:val="32"/>
          <w:szCs w:val="32"/>
          <w:highlight w:val="none"/>
          <w:lang w:eastAsia="zh-CN"/>
        </w:rPr>
        <w:t>10006</w:t>
      </w:r>
      <w:r>
        <w:rPr>
          <w:rFonts w:hint="eastAsia" w:ascii="黑体" w:hAnsi="黑体" w:eastAsia="黑体" w:cs="黑体"/>
          <w:b/>
          <w:bCs/>
          <w:spacing w:val="8"/>
          <w:sz w:val="32"/>
          <w:szCs w:val="32"/>
          <w:highlight w:val="none"/>
          <w:lang w:eastAsia="zh-CN"/>
        </w:rPr>
        <w:t xml:space="preserve"> 肿瘤标志物在肿瘤疾病中预防、诊断、疗效及预后的临床应用研究</w:t>
      </w:r>
    </w:p>
    <w:p w14:paraId="32170EFB">
      <w:pPr>
        <w:pStyle w:val="3"/>
        <w:spacing w:before="47" w:line="560" w:lineRule="exact"/>
        <w:ind w:right="19"/>
        <w:jc w:val="both"/>
        <w:rPr>
          <w:rFonts w:ascii="仿宋_GB2312" w:hAnsi="仿宋_GB2312" w:eastAsia="仿宋_GB2312" w:cs="仿宋_GB2312"/>
          <w:spacing w:val="8"/>
          <w:sz w:val="32"/>
          <w:szCs w:val="32"/>
          <w:highlight w:val="none"/>
          <w:lang w:eastAsia="zh-CN"/>
        </w:rPr>
      </w:pPr>
      <w:r>
        <w:rPr>
          <w:rFonts w:hint="eastAsia" w:ascii="黑体" w:hAnsi="黑体" w:eastAsia="黑体" w:cs="黑体"/>
          <w:spacing w:val="8"/>
          <w:sz w:val="32"/>
          <w:szCs w:val="32"/>
          <w:highlight w:val="none"/>
          <w:lang w:eastAsia="zh-CN"/>
        </w:rPr>
        <w:t>一、领域：</w:t>
      </w:r>
      <w:r>
        <w:rPr>
          <w:rFonts w:hint="eastAsia" w:ascii="仿宋_GB2312" w:hAnsi="仿宋_GB2312" w:eastAsia="仿宋_GB2312" w:cs="仿宋_GB2312"/>
          <w:spacing w:val="8"/>
          <w:sz w:val="32"/>
          <w:szCs w:val="32"/>
          <w:highlight w:val="none"/>
          <w:lang w:eastAsia="zh-CN"/>
        </w:rPr>
        <w:t>肿瘤预防诊断</w:t>
      </w:r>
    </w:p>
    <w:p w14:paraId="0A7315BA">
      <w:pPr>
        <w:pStyle w:val="3"/>
        <w:spacing w:before="47" w:line="560" w:lineRule="exact"/>
        <w:ind w:right="19"/>
        <w:jc w:val="both"/>
        <w:rPr>
          <w:rFonts w:ascii="黑体" w:hAnsi="黑体" w:eastAsia="黑体" w:cs="黑体"/>
          <w:spacing w:val="8"/>
          <w:sz w:val="32"/>
          <w:szCs w:val="32"/>
          <w:highlight w:val="none"/>
          <w:lang w:eastAsia="zh-CN"/>
        </w:rPr>
      </w:pPr>
      <w:r>
        <w:rPr>
          <w:rFonts w:hint="eastAsia" w:ascii="黑体" w:hAnsi="黑体" w:eastAsia="黑体" w:cs="黑体"/>
          <w:spacing w:val="8"/>
          <w:sz w:val="32"/>
          <w:szCs w:val="32"/>
          <w:highlight w:val="none"/>
          <w:lang w:eastAsia="zh-CN"/>
        </w:rPr>
        <w:t>二、主要研究内容</w:t>
      </w:r>
    </w:p>
    <w:p w14:paraId="24497329">
      <w:pPr>
        <w:pStyle w:val="3"/>
        <w:spacing w:before="47" w:line="560" w:lineRule="exact"/>
        <w:ind w:right="19" w:firstLine="672" w:firstLineChars="20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围绕我国肿瘤患者全程管理的临床诊疗需求，探讨化学发光法检测的肿瘤新标志物的病理、生理影响因素和检测干扰因素，确定利用肿瘤标志物开展肿瘤筛查的指征、参考范围和诊断价值，为实现我国肿瘤患者的早期诊断和精准治疗提供新依据。或开展肿瘤标志物在非肿瘤疾病中的探索应用。</w:t>
      </w:r>
    </w:p>
    <w:p w14:paraId="196F4AC2">
      <w:pPr>
        <w:pStyle w:val="3"/>
        <w:spacing w:before="47" w:line="560" w:lineRule="exact"/>
        <w:ind w:left="720" w:right="19" w:hanging="720"/>
        <w:jc w:val="both"/>
        <w:rPr>
          <w:rFonts w:ascii="黑体" w:hAnsi="黑体" w:eastAsia="黑体" w:cs="黑体"/>
          <w:spacing w:val="8"/>
          <w:sz w:val="32"/>
          <w:szCs w:val="32"/>
          <w:highlight w:val="none"/>
          <w:lang w:eastAsia="zh-CN"/>
        </w:rPr>
      </w:pPr>
      <w:r>
        <w:rPr>
          <w:rFonts w:hint="eastAsia" w:ascii="黑体" w:hAnsi="黑体" w:eastAsia="黑体" w:cs="黑体"/>
          <w:spacing w:val="8"/>
          <w:sz w:val="32"/>
          <w:szCs w:val="32"/>
          <w:highlight w:val="none"/>
          <w:lang w:eastAsia="zh-CN"/>
        </w:rPr>
        <w:t>三、项目考核指标（项目执行期内）</w:t>
      </w:r>
    </w:p>
    <w:p w14:paraId="69F73828">
      <w:pPr>
        <w:pStyle w:val="3"/>
        <w:spacing w:before="47" w:line="560" w:lineRule="exact"/>
        <w:ind w:right="19" w:firstLine="672" w:firstLineChars="20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（一）学术指标：</w:t>
      </w:r>
    </w:p>
    <w:p w14:paraId="5738EC7F">
      <w:pPr>
        <w:pStyle w:val="3"/>
        <w:spacing w:before="47" w:line="560" w:lineRule="exact"/>
        <w:ind w:right="19" w:firstLine="672" w:firstLineChars="200"/>
        <w:jc w:val="both"/>
        <w:rPr>
          <w:rFonts w:hint="eastAsia"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发表中文或SCI论文≥1篇；</w:t>
      </w:r>
    </w:p>
    <w:p w14:paraId="40984E98">
      <w:pPr>
        <w:pStyle w:val="3"/>
        <w:spacing w:before="47" w:line="560" w:lineRule="exact"/>
        <w:ind w:right="19" w:firstLine="672" w:firstLineChars="20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（二）技术指标：</w:t>
      </w:r>
    </w:p>
    <w:p w14:paraId="2E0BE23B">
      <w:pPr>
        <w:pStyle w:val="3"/>
        <w:spacing w:before="47" w:line="560" w:lineRule="exact"/>
        <w:ind w:right="19" w:firstLine="672" w:firstLineChars="20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利用肿瘤标志物开展肿瘤筛查的指征、参考范围和诊断价值，为实现肿瘤患者的早期诊断和精准治疗提供新依据，基于以上研究内容形成≥1份</w:t>
      </w:r>
      <w:r>
        <w:rPr>
          <w:rFonts w:hint="eastAsia" w:ascii="仿宋_GB2312" w:hAnsi="仿宋_GB2312" w:eastAsia="仿宋_GB2312" w:cs="仿宋_GB2312"/>
          <w:spacing w:val="8"/>
          <w:sz w:val="32"/>
          <w:szCs w:val="32"/>
          <w:highlight w:val="none"/>
          <w:lang w:val="en-US" w:eastAsia="zh-CN"/>
        </w:rPr>
        <w:t>项目</w:t>
      </w:r>
      <w:r>
        <w:rPr>
          <w:rFonts w:hint="eastAsia" w:ascii="仿宋_GB2312" w:hAnsi="仿宋_GB2312" w:eastAsia="仿宋_GB2312" w:cs="仿宋_GB2312"/>
          <w:spacing w:val="8"/>
          <w:sz w:val="32"/>
          <w:szCs w:val="32"/>
          <w:highlight w:val="none"/>
          <w:lang w:eastAsia="zh-CN"/>
        </w:rPr>
        <w:t>分析报告。</w:t>
      </w:r>
    </w:p>
    <w:p w14:paraId="55457DE4">
      <w:pPr>
        <w:pStyle w:val="3"/>
        <w:spacing w:before="47" w:line="560" w:lineRule="exact"/>
        <w:ind w:right="19"/>
        <w:jc w:val="both"/>
        <w:rPr>
          <w:rFonts w:ascii="仿宋_GB2312" w:hAnsi="仿宋_GB2312" w:eastAsia="仿宋_GB2312" w:cs="仿宋_GB2312"/>
          <w:spacing w:val="8"/>
          <w:sz w:val="32"/>
          <w:szCs w:val="32"/>
          <w:highlight w:val="none"/>
          <w:lang w:eastAsia="zh-CN"/>
        </w:rPr>
      </w:pPr>
      <w:r>
        <w:rPr>
          <w:rFonts w:hint="eastAsia" w:ascii="黑体" w:hAnsi="黑体" w:eastAsia="黑体" w:cs="黑体"/>
          <w:spacing w:val="8"/>
          <w:sz w:val="32"/>
          <w:szCs w:val="32"/>
          <w:highlight w:val="none"/>
          <w:lang w:eastAsia="zh-CN"/>
        </w:rPr>
        <w:t>四、项目实施年限：</w:t>
      </w:r>
      <w:r>
        <w:rPr>
          <w:rFonts w:hint="eastAsia" w:ascii="仿宋_GB2312" w:hAnsi="仿宋_GB2312" w:eastAsia="仿宋_GB2312" w:cs="仿宋_GB2312"/>
          <w:spacing w:val="8"/>
          <w:sz w:val="32"/>
          <w:szCs w:val="32"/>
          <w:highlight w:val="none"/>
          <w:lang w:eastAsia="zh-CN"/>
        </w:rPr>
        <w:t>不超过2年</w:t>
      </w:r>
    </w:p>
    <w:p w14:paraId="39D0C913">
      <w:pPr>
        <w:pStyle w:val="3"/>
        <w:spacing w:before="47" w:line="560" w:lineRule="exact"/>
        <w:ind w:right="19"/>
        <w:jc w:val="both"/>
        <w:rPr>
          <w:rFonts w:ascii="仿宋_GB2312" w:hAnsi="仿宋_GB2312" w:eastAsia="仿宋_GB2312" w:cs="仿宋_GB2312"/>
          <w:spacing w:val="8"/>
          <w:sz w:val="32"/>
          <w:szCs w:val="32"/>
          <w:highlight w:val="none"/>
          <w:lang w:eastAsia="zh-CN"/>
        </w:rPr>
      </w:pPr>
      <w:r>
        <w:rPr>
          <w:rFonts w:hint="eastAsia" w:ascii="黑体" w:hAnsi="黑体" w:eastAsia="黑体" w:cs="黑体"/>
          <w:spacing w:val="8"/>
          <w:sz w:val="32"/>
          <w:szCs w:val="32"/>
          <w:highlight w:val="none"/>
          <w:lang w:eastAsia="zh-CN"/>
        </w:rPr>
        <w:t>五、资助金额：</w:t>
      </w:r>
      <w:r>
        <w:rPr>
          <w:rFonts w:hint="eastAsia" w:ascii="仿宋_GB2312" w:hAnsi="仿宋_GB2312" w:eastAsia="仿宋_GB2312" w:cs="仿宋_GB2312"/>
          <w:spacing w:val="8"/>
          <w:sz w:val="32"/>
          <w:szCs w:val="32"/>
          <w:highlight w:val="none"/>
          <w:lang w:eastAsia="zh-CN"/>
        </w:rPr>
        <w:t>不超过20万元</w:t>
      </w:r>
    </w:p>
    <w:p w14:paraId="34ECE752">
      <w:pPr>
        <w:pStyle w:val="3"/>
        <w:spacing w:before="47" w:line="560" w:lineRule="exact"/>
        <w:ind w:right="19"/>
        <w:jc w:val="both"/>
        <w:rPr>
          <w:rFonts w:ascii="仿宋_GB2312" w:hAnsi="仿宋_GB2312" w:eastAsia="仿宋_GB2312" w:cs="仿宋_GB2312"/>
          <w:spacing w:val="8"/>
          <w:sz w:val="32"/>
          <w:szCs w:val="32"/>
          <w:highlight w:val="none"/>
          <w:lang w:eastAsia="zh-CN"/>
        </w:rPr>
      </w:pPr>
    </w:p>
    <w:p w14:paraId="645D6BDF">
      <w:pPr>
        <w:spacing w:before="91" w:line="560" w:lineRule="exact"/>
        <w:ind w:right="248"/>
        <w:jc w:val="center"/>
        <w:outlineLvl w:val="0"/>
        <w:rPr>
          <w:rFonts w:ascii="仿宋_GB2312" w:hAnsi="仿宋_GB2312" w:eastAsia="仿宋_GB2312" w:cs="仿宋_GB2312"/>
          <w:spacing w:val="19"/>
          <w:sz w:val="32"/>
          <w:szCs w:val="32"/>
          <w:highlight w:val="none"/>
          <w:lang w:eastAsia="zh-CN"/>
        </w:rPr>
      </w:pPr>
    </w:p>
    <w:p w14:paraId="5A727F6F">
      <w:pPr>
        <w:spacing w:before="91" w:line="560" w:lineRule="exact"/>
        <w:ind w:right="248"/>
        <w:jc w:val="center"/>
        <w:outlineLvl w:val="0"/>
        <w:rPr>
          <w:rFonts w:ascii="仿宋_GB2312" w:hAnsi="仿宋_GB2312" w:eastAsia="仿宋_GB2312" w:cs="仿宋_GB2312"/>
          <w:spacing w:val="19"/>
          <w:sz w:val="32"/>
          <w:szCs w:val="32"/>
          <w:highlight w:val="none"/>
          <w:lang w:eastAsia="zh-CN"/>
        </w:rPr>
      </w:pPr>
    </w:p>
    <w:p w14:paraId="401A36A0">
      <w:pPr>
        <w:pStyle w:val="3"/>
        <w:spacing w:before="47" w:line="560" w:lineRule="exact"/>
        <w:ind w:right="19"/>
        <w:jc w:val="center"/>
        <w:rPr>
          <w:rFonts w:ascii="仿宋_GB2312" w:hAnsi="仿宋_GB2312" w:eastAsia="仿宋_GB2312" w:cs="仿宋_GB2312"/>
          <w:b/>
          <w:bCs/>
          <w:spacing w:val="8"/>
          <w:sz w:val="32"/>
          <w:szCs w:val="32"/>
          <w:highlight w:val="none"/>
          <w:lang w:eastAsia="zh-CN"/>
        </w:rPr>
      </w:pPr>
      <w:r>
        <w:rPr>
          <w:rFonts w:hint="eastAsia" w:ascii="黑体" w:hAnsi="黑体" w:eastAsia="黑体" w:cs="黑体"/>
          <w:b/>
          <w:bCs/>
          <w:spacing w:val="8"/>
          <w:sz w:val="32"/>
          <w:szCs w:val="32"/>
          <w:highlight w:val="none"/>
          <w:lang w:eastAsia="zh-CN"/>
        </w:rPr>
        <w:t>面2025</w:t>
      </w:r>
      <w:r>
        <w:rPr>
          <w:rFonts w:ascii="黑体" w:hAnsi="黑体" w:eastAsia="黑体" w:cs="黑体"/>
          <w:b/>
          <w:bCs/>
          <w:spacing w:val="8"/>
          <w:sz w:val="32"/>
          <w:szCs w:val="32"/>
          <w:highlight w:val="none"/>
          <w:lang w:eastAsia="zh-CN"/>
        </w:rPr>
        <w:t>10007</w:t>
      </w:r>
      <w:r>
        <w:rPr>
          <w:rFonts w:hint="eastAsia" w:ascii="黑体" w:hAnsi="黑体" w:eastAsia="黑体" w:cs="黑体"/>
          <w:b/>
          <w:bCs/>
          <w:spacing w:val="8"/>
          <w:sz w:val="32"/>
          <w:szCs w:val="32"/>
          <w:highlight w:val="none"/>
          <w:lang w:eastAsia="zh-CN"/>
        </w:rPr>
        <w:t xml:space="preserve"> 临床多疾病场景下甲状腺疾病精准筛查及病情评估</w:t>
      </w:r>
    </w:p>
    <w:p w14:paraId="48AE7064">
      <w:pPr>
        <w:pStyle w:val="3"/>
        <w:spacing w:before="47" w:line="560" w:lineRule="exact"/>
        <w:ind w:right="19"/>
        <w:jc w:val="both"/>
        <w:rPr>
          <w:rFonts w:ascii="仿宋_GB2312" w:hAnsi="仿宋_GB2312" w:eastAsia="仿宋_GB2312" w:cs="仿宋_GB2312"/>
          <w:spacing w:val="8"/>
          <w:sz w:val="32"/>
          <w:szCs w:val="32"/>
          <w:highlight w:val="none"/>
          <w:lang w:eastAsia="zh-CN"/>
        </w:rPr>
      </w:pPr>
      <w:r>
        <w:rPr>
          <w:rFonts w:hint="eastAsia" w:ascii="黑体" w:hAnsi="黑体" w:eastAsia="黑体" w:cs="黑体"/>
          <w:spacing w:val="8"/>
          <w:sz w:val="32"/>
          <w:szCs w:val="32"/>
          <w:highlight w:val="none"/>
          <w:lang w:eastAsia="zh-CN"/>
        </w:rPr>
        <w:t>一、领域：</w:t>
      </w:r>
      <w:r>
        <w:rPr>
          <w:rFonts w:hint="eastAsia" w:ascii="仿宋_GB2312" w:hAnsi="仿宋_GB2312" w:eastAsia="仿宋_GB2312" w:cs="仿宋_GB2312"/>
          <w:spacing w:val="8"/>
          <w:sz w:val="32"/>
          <w:szCs w:val="32"/>
          <w:highlight w:val="none"/>
          <w:lang w:eastAsia="zh-CN"/>
        </w:rPr>
        <w:t>甲状腺疾病</w:t>
      </w:r>
    </w:p>
    <w:p w14:paraId="671A851E">
      <w:pPr>
        <w:pStyle w:val="3"/>
        <w:spacing w:before="47" w:line="560" w:lineRule="exact"/>
        <w:ind w:right="19"/>
        <w:jc w:val="both"/>
        <w:rPr>
          <w:rFonts w:ascii="黑体" w:hAnsi="黑体" w:eastAsia="黑体" w:cs="黑体"/>
          <w:spacing w:val="8"/>
          <w:sz w:val="32"/>
          <w:szCs w:val="32"/>
          <w:highlight w:val="none"/>
          <w:lang w:eastAsia="zh-CN"/>
        </w:rPr>
      </w:pPr>
      <w:r>
        <w:rPr>
          <w:rFonts w:hint="eastAsia" w:ascii="黑体" w:hAnsi="黑体" w:eastAsia="黑体" w:cs="黑体"/>
          <w:spacing w:val="8"/>
          <w:sz w:val="32"/>
          <w:szCs w:val="32"/>
          <w:highlight w:val="none"/>
          <w:lang w:eastAsia="zh-CN"/>
        </w:rPr>
        <w:t>二、主要研究内容</w:t>
      </w:r>
    </w:p>
    <w:p w14:paraId="7F71B31A">
      <w:pPr>
        <w:pStyle w:val="3"/>
        <w:spacing w:before="47" w:line="560" w:lineRule="exact"/>
        <w:ind w:right="19" w:firstLine="672" w:firstLineChars="20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分析现有的甲状腺疾病筛查方法的优缺点及适用范围，包括血清甲状腺激素水平检测、甲状腺超声检查、细针穿刺活检等，并在此基础上探索新型的筛查方法以期提高甲状腺疾病的筛查精度和效率。进一步研究甲状腺疾病的病情评估体系，包括评估指标的选取、评估标准的制定以及评估方法的优化。并通过分析大量甲状腺疾病患者的数据，构建基于大数据的预测模型，以预测患者的疾病发展趋势、治疗效果、参考值制定和共识指南的修订等提供参考依据。</w:t>
      </w:r>
    </w:p>
    <w:p w14:paraId="47F0D92B">
      <w:pPr>
        <w:pStyle w:val="3"/>
        <w:spacing w:before="47" w:line="560" w:lineRule="exact"/>
        <w:ind w:left="720" w:right="19" w:hanging="720"/>
        <w:jc w:val="both"/>
        <w:rPr>
          <w:rFonts w:ascii="黑体" w:hAnsi="黑体" w:eastAsia="黑体" w:cs="黑体"/>
          <w:spacing w:val="8"/>
          <w:sz w:val="32"/>
          <w:szCs w:val="32"/>
          <w:highlight w:val="none"/>
          <w:lang w:eastAsia="zh-CN"/>
        </w:rPr>
      </w:pPr>
      <w:r>
        <w:rPr>
          <w:rFonts w:hint="eastAsia" w:ascii="黑体" w:hAnsi="黑体" w:eastAsia="黑体" w:cs="黑体"/>
          <w:spacing w:val="8"/>
          <w:sz w:val="32"/>
          <w:szCs w:val="32"/>
          <w:highlight w:val="none"/>
          <w:lang w:eastAsia="zh-CN"/>
        </w:rPr>
        <w:t>三、项目考核指标（项目执行期内）</w:t>
      </w:r>
    </w:p>
    <w:p w14:paraId="7DC80FAC">
      <w:pPr>
        <w:pStyle w:val="3"/>
        <w:spacing w:before="47" w:line="560" w:lineRule="exact"/>
        <w:ind w:right="19" w:firstLine="672" w:firstLineChars="20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（一）学术指标：</w:t>
      </w:r>
    </w:p>
    <w:p w14:paraId="7F0E3D81">
      <w:pPr>
        <w:pStyle w:val="3"/>
        <w:spacing w:before="47" w:line="560" w:lineRule="exact"/>
        <w:ind w:right="19" w:firstLine="672" w:firstLineChars="20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发表中文或SCI论文≥1篇；</w:t>
      </w:r>
    </w:p>
    <w:p w14:paraId="605A8029">
      <w:pPr>
        <w:pStyle w:val="3"/>
        <w:spacing w:before="47" w:line="560" w:lineRule="exact"/>
        <w:ind w:right="19" w:firstLine="672" w:firstLineChars="20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（二）技术指标：</w:t>
      </w:r>
    </w:p>
    <w:p w14:paraId="0AF3A04E">
      <w:pPr>
        <w:pStyle w:val="3"/>
        <w:spacing w:before="47" w:line="560" w:lineRule="exact"/>
        <w:ind w:right="19" w:firstLine="672" w:firstLineChars="20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围绕不同人群及疾病场景下甲状腺疾病全程管理的临床诊疗需求，构建基于多模态数据的甲状腺疾病诊断模型，并形成≥1份</w:t>
      </w:r>
      <w:r>
        <w:rPr>
          <w:rFonts w:hint="eastAsia" w:ascii="仿宋_GB2312" w:hAnsi="仿宋_GB2312" w:eastAsia="仿宋_GB2312" w:cs="仿宋_GB2312"/>
          <w:spacing w:val="8"/>
          <w:sz w:val="32"/>
          <w:szCs w:val="32"/>
          <w:highlight w:val="none"/>
          <w:lang w:val="en-US" w:eastAsia="zh-CN"/>
        </w:rPr>
        <w:t>项目</w:t>
      </w:r>
      <w:r>
        <w:rPr>
          <w:rFonts w:hint="eastAsia" w:ascii="仿宋_GB2312" w:hAnsi="仿宋_GB2312" w:eastAsia="仿宋_GB2312" w:cs="仿宋_GB2312"/>
          <w:spacing w:val="8"/>
          <w:sz w:val="32"/>
          <w:szCs w:val="32"/>
          <w:highlight w:val="none"/>
          <w:lang w:eastAsia="zh-CN"/>
        </w:rPr>
        <w:t>分析报告。</w:t>
      </w:r>
    </w:p>
    <w:p w14:paraId="3F598A08">
      <w:pPr>
        <w:pStyle w:val="3"/>
        <w:spacing w:before="47" w:line="560" w:lineRule="exact"/>
        <w:ind w:right="19"/>
        <w:jc w:val="both"/>
        <w:rPr>
          <w:rFonts w:ascii="仿宋_GB2312" w:hAnsi="仿宋_GB2312" w:eastAsia="仿宋_GB2312" w:cs="仿宋_GB2312"/>
          <w:spacing w:val="8"/>
          <w:sz w:val="32"/>
          <w:szCs w:val="32"/>
          <w:highlight w:val="none"/>
          <w:lang w:eastAsia="zh-CN"/>
        </w:rPr>
      </w:pPr>
      <w:r>
        <w:rPr>
          <w:rFonts w:hint="eastAsia" w:ascii="黑体" w:hAnsi="黑体" w:eastAsia="黑体" w:cs="黑体"/>
          <w:spacing w:val="8"/>
          <w:sz w:val="32"/>
          <w:szCs w:val="32"/>
          <w:highlight w:val="none"/>
          <w:lang w:eastAsia="zh-CN"/>
        </w:rPr>
        <w:t>四、项目实施年限：</w:t>
      </w:r>
      <w:r>
        <w:rPr>
          <w:rFonts w:hint="eastAsia" w:ascii="仿宋_GB2312" w:hAnsi="仿宋_GB2312" w:eastAsia="仿宋_GB2312" w:cs="仿宋_GB2312"/>
          <w:spacing w:val="8"/>
          <w:sz w:val="32"/>
          <w:szCs w:val="32"/>
          <w:highlight w:val="none"/>
          <w:lang w:eastAsia="zh-CN"/>
        </w:rPr>
        <w:t>不超过2年</w:t>
      </w:r>
    </w:p>
    <w:p w14:paraId="4063D1CB">
      <w:pPr>
        <w:pStyle w:val="3"/>
        <w:spacing w:before="47" w:line="560" w:lineRule="exact"/>
        <w:ind w:right="19"/>
        <w:rPr>
          <w:rFonts w:ascii="仿宋_GB2312" w:hAnsi="仿宋_GB2312" w:eastAsia="仿宋_GB2312" w:cs="仿宋_GB2312"/>
          <w:spacing w:val="8"/>
          <w:sz w:val="32"/>
          <w:szCs w:val="32"/>
          <w:highlight w:val="none"/>
          <w:lang w:eastAsia="zh-CN"/>
        </w:rPr>
      </w:pPr>
      <w:r>
        <w:rPr>
          <w:rFonts w:hint="eastAsia" w:ascii="黑体" w:hAnsi="黑体" w:eastAsia="黑体" w:cs="黑体"/>
          <w:spacing w:val="8"/>
          <w:sz w:val="32"/>
          <w:szCs w:val="32"/>
          <w:highlight w:val="none"/>
          <w:lang w:eastAsia="zh-CN"/>
        </w:rPr>
        <w:t>五、资助金额：</w:t>
      </w:r>
      <w:r>
        <w:rPr>
          <w:rFonts w:hint="eastAsia" w:ascii="仿宋_GB2312" w:hAnsi="仿宋_GB2312" w:eastAsia="仿宋_GB2312" w:cs="仿宋_GB2312"/>
          <w:spacing w:val="8"/>
          <w:sz w:val="32"/>
          <w:szCs w:val="32"/>
          <w:highlight w:val="none"/>
          <w:lang w:eastAsia="zh-CN"/>
        </w:rPr>
        <w:t>不超过20万元</w:t>
      </w:r>
    </w:p>
    <w:p w14:paraId="5DB94A59">
      <w:pPr>
        <w:pStyle w:val="3"/>
        <w:spacing w:before="47" w:line="560" w:lineRule="exact"/>
        <w:ind w:right="19"/>
        <w:jc w:val="center"/>
        <w:rPr>
          <w:rFonts w:ascii="仿宋_GB2312" w:hAnsi="仿宋_GB2312" w:eastAsia="仿宋_GB2312" w:cs="仿宋_GB2312"/>
          <w:b/>
          <w:bCs/>
          <w:spacing w:val="8"/>
          <w:sz w:val="32"/>
          <w:szCs w:val="32"/>
          <w:highlight w:val="none"/>
          <w:lang w:eastAsia="zh-CN"/>
        </w:rPr>
      </w:pPr>
      <w:r>
        <w:rPr>
          <w:rFonts w:hint="eastAsia" w:ascii="黑体" w:hAnsi="黑体" w:eastAsia="黑体" w:cs="黑体"/>
          <w:b/>
          <w:bCs/>
          <w:spacing w:val="8"/>
          <w:sz w:val="32"/>
          <w:szCs w:val="32"/>
          <w:highlight w:val="none"/>
          <w:lang w:eastAsia="zh-CN"/>
        </w:rPr>
        <w:t>面2025</w:t>
      </w:r>
      <w:r>
        <w:rPr>
          <w:rFonts w:ascii="黑体" w:hAnsi="黑体" w:eastAsia="黑体" w:cs="黑体"/>
          <w:b/>
          <w:bCs/>
          <w:spacing w:val="8"/>
          <w:sz w:val="32"/>
          <w:szCs w:val="32"/>
          <w:highlight w:val="none"/>
          <w:lang w:eastAsia="zh-CN"/>
        </w:rPr>
        <w:t>10008</w:t>
      </w:r>
      <w:r>
        <w:rPr>
          <w:rFonts w:hint="eastAsia" w:ascii="黑体" w:hAnsi="黑体" w:eastAsia="黑体" w:cs="黑体"/>
          <w:b/>
          <w:bCs/>
          <w:spacing w:val="8"/>
          <w:sz w:val="32"/>
          <w:szCs w:val="32"/>
          <w:highlight w:val="none"/>
          <w:lang w:eastAsia="zh-CN"/>
        </w:rPr>
        <w:t xml:space="preserve"> 内分泌激素在生长发育或妊娠相关疾病的诊疗价值研究</w:t>
      </w:r>
    </w:p>
    <w:p w14:paraId="28662774">
      <w:pPr>
        <w:pStyle w:val="3"/>
        <w:spacing w:before="47" w:line="560" w:lineRule="exact"/>
        <w:ind w:right="19"/>
        <w:jc w:val="both"/>
        <w:rPr>
          <w:rFonts w:hint="default" w:ascii="仿宋_GB2312" w:hAnsi="仿宋_GB2312" w:eastAsia="仿宋_GB2312" w:cs="仿宋_GB2312"/>
          <w:spacing w:val="8"/>
          <w:sz w:val="32"/>
          <w:szCs w:val="32"/>
          <w:highlight w:val="none"/>
          <w:lang w:val="en-US" w:eastAsia="zh-CN"/>
        </w:rPr>
      </w:pPr>
      <w:r>
        <w:rPr>
          <w:rFonts w:hint="eastAsia" w:ascii="黑体" w:hAnsi="黑体" w:eastAsia="黑体" w:cs="黑体"/>
          <w:spacing w:val="8"/>
          <w:sz w:val="32"/>
          <w:szCs w:val="32"/>
          <w:highlight w:val="none"/>
          <w:lang w:eastAsia="zh-CN"/>
        </w:rPr>
        <w:t>一、领域：</w:t>
      </w:r>
      <w:r>
        <w:rPr>
          <w:rFonts w:hint="eastAsia" w:ascii="仿宋_GB2312" w:hAnsi="仿宋_GB2312" w:eastAsia="仿宋_GB2312" w:cs="仿宋_GB2312"/>
          <w:bCs/>
          <w:spacing w:val="8"/>
          <w:sz w:val="32"/>
          <w:szCs w:val="32"/>
          <w:highlight w:val="none"/>
          <w:lang w:eastAsia="zh-CN"/>
        </w:rPr>
        <w:t>内分泌</w:t>
      </w:r>
      <w:r>
        <w:rPr>
          <w:rFonts w:hint="eastAsia" w:ascii="仿宋_GB2312" w:hAnsi="仿宋_GB2312" w:eastAsia="仿宋_GB2312" w:cs="仿宋_GB2312"/>
          <w:bCs/>
          <w:spacing w:val="8"/>
          <w:sz w:val="32"/>
          <w:szCs w:val="32"/>
          <w:highlight w:val="none"/>
          <w:lang w:val="en-US" w:eastAsia="zh-CN"/>
        </w:rPr>
        <w:t>诊疗</w:t>
      </w:r>
    </w:p>
    <w:p w14:paraId="72044EED">
      <w:pPr>
        <w:pStyle w:val="3"/>
        <w:spacing w:before="47" w:line="560" w:lineRule="exact"/>
        <w:ind w:right="19"/>
        <w:jc w:val="both"/>
        <w:rPr>
          <w:rFonts w:ascii="黑体" w:hAnsi="黑体" w:eastAsia="黑体" w:cs="黑体"/>
          <w:spacing w:val="8"/>
          <w:sz w:val="32"/>
          <w:szCs w:val="32"/>
          <w:highlight w:val="none"/>
          <w:lang w:eastAsia="zh-CN"/>
        </w:rPr>
      </w:pPr>
      <w:r>
        <w:rPr>
          <w:rFonts w:hint="eastAsia" w:ascii="黑体" w:hAnsi="黑体" w:eastAsia="黑体" w:cs="黑体"/>
          <w:spacing w:val="8"/>
          <w:sz w:val="32"/>
          <w:szCs w:val="32"/>
          <w:highlight w:val="none"/>
          <w:lang w:eastAsia="zh-CN"/>
        </w:rPr>
        <w:t>二、主要研究内容</w:t>
      </w:r>
    </w:p>
    <w:p w14:paraId="3703D503">
      <w:pPr>
        <w:pStyle w:val="3"/>
        <w:spacing w:before="47" w:line="560" w:lineRule="exact"/>
        <w:ind w:right="19" w:firstLine="672" w:firstLineChars="20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围绕特定人群（包括新生儿、婴幼儿、青少年及孕妇）在生长发育或妊娠相关疾病的诊疗需求，深入探讨生长发育相关内分泌激素在儿童生长发育及妊娠阶段生理学、病理生理学的变化因素以及免疫检测方法学特异性的影响因素，最终确定相关疾病标志物的检测指征、诊断效能、参考范围及诊断价值，为妊娠期和儿童生长发育阶段的内分泌失调的早期诊断和个体化治疗提供科学依据。</w:t>
      </w:r>
    </w:p>
    <w:p w14:paraId="114AF020">
      <w:pPr>
        <w:pStyle w:val="3"/>
        <w:spacing w:before="47" w:line="560" w:lineRule="exact"/>
        <w:ind w:left="720" w:right="19" w:hanging="720"/>
        <w:jc w:val="both"/>
        <w:rPr>
          <w:rFonts w:ascii="黑体" w:hAnsi="黑体" w:eastAsia="黑体" w:cs="黑体"/>
          <w:spacing w:val="8"/>
          <w:sz w:val="32"/>
          <w:szCs w:val="32"/>
          <w:highlight w:val="none"/>
          <w:lang w:eastAsia="zh-CN"/>
        </w:rPr>
      </w:pPr>
      <w:r>
        <w:rPr>
          <w:rFonts w:hint="eastAsia" w:ascii="黑体" w:hAnsi="黑体" w:eastAsia="黑体" w:cs="黑体"/>
          <w:spacing w:val="8"/>
          <w:sz w:val="32"/>
          <w:szCs w:val="32"/>
          <w:highlight w:val="none"/>
          <w:lang w:eastAsia="zh-CN"/>
        </w:rPr>
        <w:t>三、项目考核指标（项目执行期内）</w:t>
      </w:r>
    </w:p>
    <w:p w14:paraId="02EAA54A">
      <w:pPr>
        <w:pStyle w:val="3"/>
        <w:spacing w:before="47" w:line="560" w:lineRule="exact"/>
        <w:ind w:right="19" w:firstLine="672" w:firstLineChars="20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（一）学术指标：</w:t>
      </w:r>
    </w:p>
    <w:p w14:paraId="3AB8EB47">
      <w:pPr>
        <w:pStyle w:val="3"/>
        <w:spacing w:before="47" w:line="560" w:lineRule="exact"/>
        <w:ind w:right="19" w:firstLine="672" w:firstLineChars="200"/>
        <w:jc w:val="both"/>
        <w:rPr>
          <w:rFonts w:hint="eastAsia"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发表中文或SCI论文≥1篇；</w:t>
      </w:r>
    </w:p>
    <w:p w14:paraId="1BBC0A9E">
      <w:pPr>
        <w:pStyle w:val="3"/>
        <w:spacing w:before="47" w:line="560" w:lineRule="exact"/>
        <w:ind w:right="19" w:firstLine="672" w:firstLineChars="20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（二）技术指标：</w:t>
      </w:r>
    </w:p>
    <w:p w14:paraId="17F003A0">
      <w:pPr>
        <w:pStyle w:val="3"/>
        <w:spacing w:before="47" w:line="560" w:lineRule="exact"/>
        <w:ind w:right="19" w:firstLine="672" w:firstLineChars="20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深入探讨生长发育相关内分泌激素在儿童生长发育及妊娠阶段生理学、病理生理学的变化因素以及免疫检测方法学特异性的影响因素，形成≥1份</w:t>
      </w:r>
      <w:r>
        <w:rPr>
          <w:rFonts w:hint="eastAsia" w:ascii="仿宋_GB2312" w:hAnsi="仿宋_GB2312" w:eastAsia="仿宋_GB2312" w:cs="仿宋_GB2312"/>
          <w:spacing w:val="8"/>
          <w:sz w:val="32"/>
          <w:szCs w:val="32"/>
          <w:highlight w:val="none"/>
          <w:lang w:val="en-US" w:eastAsia="zh-CN"/>
        </w:rPr>
        <w:t>项目</w:t>
      </w:r>
      <w:r>
        <w:rPr>
          <w:rFonts w:hint="eastAsia" w:ascii="仿宋_GB2312" w:hAnsi="仿宋_GB2312" w:eastAsia="仿宋_GB2312" w:cs="仿宋_GB2312"/>
          <w:spacing w:val="8"/>
          <w:sz w:val="32"/>
          <w:szCs w:val="32"/>
          <w:highlight w:val="none"/>
          <w:lang w:eastAsia="zh-CN"/>
        </w:rPr>
        <w:t>分析报告。</w:t>
      </w:r>
    </w:p>
    <w:p w14:paraId="6DC7DBC0">
      <w:pPr>
        <w:pStyle w:val="3"/>
        <w:spacing w:before="47" w:line="560" w:lineRule="exact"/>
        <w:ind w:right="19"/>
        <w:jc w:val="both"/>
        <w:rPr>
          <w:rFonts w:ascii="仿宋_GB2312" w:hAnsi="仿宋_GB2312" w:eastAsia="仿宋_GB2312" w:cs="仿宋_GB2312"/>
          <w:spacing w:val="8"/>
          <w:sz w:val="32"/>
          <w:szCs w:val="32"/>
          <w:highlight w:val="none"/>
          <w:lang w:eastAsia="zh-CN"/>
        </w:rPr>
      </w:pPr>
      <w:r>
        <w:rPr>
          <w:rFonts w:hint="eastAsia" w:ascii="黑体" w:hAnsi="黑体" w:eastAsia="黑体" w:cs="黑体"/>
          <w:spacing w:val="8"/>
          <w:sz w:val="32"/>
          <w:szCs w:val="32"/>
          <w:highlight w:val="none"/>
          <w:lang w:eastAsia="zh-CN"/>
        </w:rPr>
        <w:t>四、项目实施年限：</w:t>
      </w:r>
      <w:r>
        <w:rPr>
          <w:rFonts w:hint="eastAsia" w:ascii="仿宋_GB2312" w:hAnsi="仿宋_GB2312" w:eastAsia="仿宋_GB2312" w:cs="仿宋_GB2312"/>
          <w:spacing w:val="8"/>
          <w:sz w:val="32"/>
          <w:szCs w:val="32"/>
          <w:highlight w:val="none"/>
          <w:lang w:eastAsia="zh-CN"/>
        </w:rPr>
        <w:t>不超过2年</w:t>
      </w:r>
    </w:p>
    <w:p w14:paraId="274651A8">
      <w:pPr>
        <w:pStyle w:val="3"/>
        <w:spacing w:before="47" w:line="560" w:lineRule="exact"/>
        <w:ind w:right="19"/>
        <w:rPr>
          <w:rFonts w:ascii="仿宋_GB2312" w:hAnsi="仿宋_GB2312" w:eastAsia="仿宋_GB2312" w:cs="仿宋_GB2312"/>
          <w:spacing w:val="8"/>
          <w:sz w:val="32"/>
          <w:szCs w:val="32"/>
          <w:highlight w:val="none"/>
          <w:lang w:eastAsia="zh-CN"/>
        </w:rPr>
      </w:pPr>
      <w:r>
        <w:rPr>
          <w:rFonts w:hint="eastAsia" w:ascii="黑体" w:hAnsi="黑体" w:eastAsia="黑体" w:cs="黑体"/>
          <w:spacing w:val="8"/>
          <w:sz w:val="32"/>
          <w:szCs w:val="32"/>
          <w:highlight w:val="none"/>
          <w:lang w:eastAsia="zh-CN"/>
        </w:rPr>
        <w:t>五、资助金额：</w:t>
      </w:r>
      <w:r>
        <w:rPr>
          <w:rFonts w:hint="eastAsia" w:ascii="仿宋_GB2312" w:hAnsi="仿宋_GB2312" w:eastAsia="仿宋_GB2312" w:cs="仿宋_GB2312"/>
          <w:spacing w:val="8"/>
          <w:sz w:val="32"/>
          <w:szCs w:val="32"/>
          <w:highlight w:val="none"/>
          <w:lang w:eastAsia="zh-CN"/>
        </w:rPr>
        <w:t>不超过20万元</w:t>
      </w:r>
    </w:p>
    <w:p w14:paraId="203E5C0A">
      <w:pPr>
        <w:pStyle w:val="3"/>
        <w:spacing w:before="47" w:line="560" w:lineRule="exact"/>
        <w:ind w:right="19"/>
        <w:rPr>
          <w:rFonts w:ascii="仿宋_GB2312" w:hAnsi="仿宋_GB2312" w:eastAsia="仿宋_GB2312" w:cs="仿宋_GB2312"/>
          <w:spacing w:val="8"/>
          <w:sz w:val="32"/>
          <w:szCs w:val="32"/>
          <w:highlight w:val="none"/>
          <w:lang w:eastAsia="zh-CN"/>
        </w:rPr>
      </w:pPr>
    </w:p>
    <w:p w14:paraId="23C763E1">
      <w:pPr>
        <w:pStyle w:val="3"/>
        <w:spacing w:before="47" w:line="560" w:lineRule="exact"/>
        <w:ind w:right="19"/>
        <w:jc w:val="center"/>
        <w:rPr>
          <w:rFonts w:ascii="仿宋_GB2312" w:hAnsi="仿宋_GB2312" w:eastAsia="仿宋_GB2312" w:cs="仿宋_GB2312"/>
          <w:b/>
          <w:bCs/>
          <w:spacing w:val="8"/>
          <w:sz w:val="32"/>
          <w:szCs w:val="32"/>
          <w:highlight w:val="none"/>
          <w:lang w:eastAsia="zh-CN"/>
        </w:rPr>
      </w:pPr>
      <w:r>
        <w:rPr>
          <w:rFonts w:hint="eastAsia" w:ascii="黑体" w:hAnsi="黑体" w:eastAsia="黑体" w:cs="黑体"/>
          <w:b/>
          <w:bCs/>
          <w:spacing w:val="8"/>
          <w:sz w:val="32"/>
          <w:szCs w:val="32"/>
          <w:highlight w:val="none"/>
          <w:lang w:eastAsia="zh-CN"/>
        </w:rPr>
        <w:t>面2025</w:t>
      </w:r>
      <w:r>
        <w:rPr>
          <w:rFonts w:ascii="黑体" w:hAnsi="黑体" w:eastAsia="黑体" w:cs="黑体"/>
          <w:b/>
          <w:bCs/>
          <w:spacing w:val="8"/>
          <w:sz w:val="32"/>
          <w:szCs w:val="32"/>
          <w:highlight w:val="none"/>
          <w:lang w:eastAsia="zh-CN"/>
        </w:rPr>
        <w:t>10009</w:t>
      </w:r>
      <w:r>
        <w:rPr>
          <w:rFonts w:hint="eastAsia" w:ascii="黑体" w:hAnsi="黑体" w:eastAsia="黑体" w:cs="黑体"/>
          <w:b/>
          <w:bCs/>
          <w:spacing w:val="8"/>
          <w:sz w:val="32"/>
          <w:szCs w:val="32"/>
          <w:highlight w:val="none"/>
          <w:lang w:eastAsia="zh-CN"/>
        </w:rPr>
        <w:t xml:space="preserve"> 心脏标志物在心血管疾病风险预测、诊断、疗效与预后评估的应用研究</w:t>
      </w:r>
    </w:p>
    <w:p w14:paraId="0B295F1C">
      <w:pPr>
        <w:pStyle w:val="3"/>
        <w:spacing w:before="47" w:line="560" w:lineRule="exact"/>
        <w:ind w:right="19"/>
        <w:jc w:val="both"/>
        <w:rPr>
          <w:rFonts w:ascii="仿宋_GB2312" w:hAnsi="仿宋_GB2312" w:eastAsia="仿宋_GB2312" w:cs="仿宋_GB2312"/>
          <w:spacing w:val="8"/>
          <w:sz w:val="32"/>
          <w:szCs w:val="32"/>
          <w:highlight w:val="none"/>
          <w:lang w:eastAsia="zh-CN"/>
        </w:rPr>
      </w:pPr>
      <w:r>
        <w:rPr>
          <w:rFonts w:hint="eastAsia" w:ascii="黑体" w:hAnsi="黑体" w:eastAsia="黑体" w:cs="黑体"/>
          <w:spacing w:val="8"/>
          <w:sz w:val="32"/>
          <w:szCs w:val="32"/>
          <w:highlight w:val="none"/>
          <w:lang w:eastAsia="zh-CN"/>
        </w:rPr>
        <w:t>一、领域：</w:t>
      </w:r>
      <w:r>
        <w:rPr>
          <w:rFonts w:hint="eastAsia" w:ascii="仿宋_GB2312" w:hAnsi="仿宋_GB2312" w:eastAsia="仿宋_GB2312" w:cs="仿宋_GB2312"/>
          <w:bCs/>
          <w:spacing w:val="8"/>
          <w:sz w:val="32"/>
          <w:szCs w:val="32"/>
          <w:highlight w:val="none"/>
          <w:lang w:eastAsia="zh-CN"/>
        </w:rPr>
        <w:t>心血管疾病</w:t>
      </w:r>
    </w:p>
    <w:p w14:paraId="4D325B16">
      <w:pPr>
        <w:pStyle w:val="3"/>
        <w:spacing w:before="47" w:line="560" w:lineRule="exact"/>
        <w:ind w:right="19"/>
        <w:jc w:val="both"/>
        <w:rPr>
          <w:rFonts w:ascii="黑体" w:hAnsi="黑体" w:eastAsia="黑体" w:cs="黑体"/>
          <w:spacing w:val="8"/>
          <w:sz w:val="32"/>
          <w:szCs w:val="32"/>
          <w:highlight w:val="none"/>
          <w:lang w:eastAsia="zh-CN"/>
        </w:rPr>
      </w:pPr>
      <w:r>
        <w:rPr>
          <w:rFonts w:hint="eastAsia" w:ascii="黑体" w:hAnsi="黑体" w:eastAsia="黑体" w:cs="黑体"/>
          <w:spacing w:val="8"/>
          <w:sz w:val="32"/>
          <w:szCs w:val="32"/>
          <w:highlight w:val="none"/>
          <w:lang w:eastAsia="zh-CN"/>
        </w:rPr>
        <w:t>二、主要研究内容</w:t>
      </w:r>
    </w:p>
    <w:p w14:paraId="41C1A205">
      <w:pPr>
        <w:pStyle w:val="3"/>
        <w:spacing w:before="47" w:line="560" w:lineRule="exact"/>
        <w:ind w:right="19" w:firstLine="672" w:firstLineChars="20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探讨心脏标志物（hs-cTnI等）在高血压、糖尿病、慢性肾病、高脂血症、感染性疾病、急重症等患者中发生不良心血管事件的筛查指征、参考范围、诊断价值，为优化不同人群心血管事件的预测、诊断、疗效与预后评估提供科学依据。</w:t>
      </w:r>
    </w:p>
    <w:p w14:paraId="03BC6701">
      <w:pPr>
        <w:pStyle w:val="3"/>
        <w:spacing w:before="47" w:line="560" w:lineRule="exact"/>
        <w:ind w:left="720" w:right="19" w:hanging="720"/>
        <w:jc w:val="both"/>
        <w:rPr>
          <w:rFonts w:ascii="黑体" w:hAnsi="黑体" w:eastAsia="黑体" w:cs="黑体"/>
          <w:spacing w:val="8"/>
          <w:sz w:val="32"/>
          <w:szCs w:val="32"/>
          <w:highlight w:val="none"/>
          <w:lang w:eastAsia="zh-CN"/>
        </w:rPr>
      </w:pPr>
      <w:r>
        <w:rPr>
          <w:rFonts w:hint="eastAsia" w:ascii="黑体" w:hAnsi="黑体" w:eastAsia="黑体" w:cs="黑体"/>
          <w:spacing w:val="8"/>
          <w:sz w:val="32"/>
          <w:szCs w:val="32"/>
          <w:highlight w:val="none"/>
          <w:lang w:eastAsia="zh-CN"/>
        </w:rPr>
        <w:t>三、项目考核指标（项目执行期内）</w:t>
      </w:r>
    </w:p>
    <w:p w14:paraId="6DC84224">
      <w:pPr>
        <w:pStyle w:val="3"/>
        <w:spacing w:before="47" w:line="560" w:lineRule="exact"/>
        <w:ind w:right="19" w:firstLine="672" w:firstLineChars="20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（一）学术指标：</w:t>
      </w:r>
    </w:p>
    <w:p w14:paraId="6EE11EE0">
      <w:pPr>
        <w:pStyle w:val="3"/>
        <w:spacing w:before="47" w:line="560" w:lineRule="exact"/>
        <w:ind w:right="19" w:firstLine="672" w:firstLineChars="200"/>
        <w:jc w:val="both"/>
        <w:rPr>
          <w:rFonts w:hint="eastAsia"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发表中文或SCI论文≥1篇；</w:t>
      </w:r>
    </w:p>
    <w:p w14:paraId="706770C4">
      <w:pPr>
        <w:pStyle w:val="3"/>
        <w:spacing w:before="47" w:line="560" w:lineRule="exact"/>
        <w:ind w:right="19" w:firstLine="672" w:firstLineChars="20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（二）技术指标：</w:t>
      </w:r>
    </w:p>
    <w:p w14:paraId="4B5E043E">
      <w:pPr>
        <w:pStyle w:val="3"/>
        <w:spacing w:before="47" w:line="560" w:lineRule="exact"/>
        <w:ind w:right="19" w:firstLine="672" w:firstLineChars="20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心脏标志物（hs-cTnI等）在高血压、糖尿病、慢性肾病、高脂血症、感染性疾病、急重症等患者中发生不良心血管的诊断价值研究，形成≥1份</w:t>
      </w:r>
      <w:r>
        <w:rPr>
          <w:rFonts w:hint="eastAsia" w:ascii="仿宋_GB2312" w:hAnsi="仿宋_GB2312" w:eastAsia="仿宋_GB2312" w:cs="仿宋_GB2312"/>
          <w:spacing w:val="8"/>
          <w:sz w:val="32"/>
          <w:szCs w:val="32"/>
          <w:highlight w:val="none"/>
          <w:lang w:val="en-US" w:eastAsia="zh-CN"/>
        </w:rPr>
        <w:t>项目</w:t>
      </w:r>
      <w:r>
        <w:rPr>
          <w:rFonts w:hint="eastAsia" w:ascii="仿宋_GB2312" w:hAnsi="仿宋_GB2312" w:eastAsia="仿宋_GB2312" w:cs="仿宋_GB2312"/>
          <w:spacing w:val="8"/>
          <w:sz w:val="32"/>
          <w:szCs w:val="32"/>
          <w:highlight w:val="none"/>
          <w:lang w:eastAsia="zh-CN"/>
        </w:rPr>
        <w:t>分析报告。</w:t>
      </w:r>
    </w:p>
    <w:p w14:paraId="70D58DDF">
      <w:pPr>
        <w:pStyle w:val="3"/>
        <w:spacing w:before="47" w:line="560" w:lineRule="exact"/>
        <w:ind w:right="19"/>
        <w:jc w:val="both"/>
        <w:rPr>
          <w:rFonts w:ascii="仿宋_GB2312" w:hAnsi="仿宋_GB2312" w:eastAsia="仿宋_GB2312" w:cs="仿宋_GB2312"/>
          <w:spacing w:val="8"/>
          <w:sz w:val="32"/>
          <w:szCs w:val="32"/>
          <w:highlight w:val="none"/>
          <w:lang w:eastAsia="zh-CN"/>
        </w:rPr>
      </w:pPr>
      <w:r>
        <w:rPr>
          <w:rFonts w:hint="eastAsia" w:ascii="黑体" w:hAnsi="黑体" w:eastAsia="黑体" w:cs="黑体"/>
          <w:spacing w:val="8"/>
          <w:sz w:val="32"/>
          <w:szCs w:val="32"/>
          <w:highlight w:val="none"/>
          <w:lang w:eastAsia="zh-CN"/>
        </w:rPr>
        <w:t>四、项目实施年限：</w:t>
      </w:r>
      <w:r>
        <w:rPr>
          <w:rFonts w:hint="eastAsia" w:ascii="仿宋_GB2312" w:hAnsi="仿宋_GB2312" w:eastAsia="仿宋_GB2312" w:cs="仿宋_GB2312"/>
          <w:spacing w:val="8"/>
          <w:sz w:val="32"/>
          <w:szCs w:val="32"/>
          <w:highlight w:val="none"/>
          <w:lang w:eastAsia="zh-CN"/>
        </w:rPr>
        <w:t>不超过2年</w:t>
      </w:r>
    </w:p>
    <w:p w14:paraId="4BB08B90">
      <w:pPr>
        <w:pStyle w:val="3"/>
        <w:spacing w:before="47" w:line="560" w:lineRule="exact"/>
        <w:ind w:right="19"/>
        <w:rPr>
          <w:rFonts w:ascii="仿宋_GB2312" w:hAnsi="仿宋_GB2312" w:eastAsia="仿宋_GB2312" w:cs="仿宋_GB2312"/>
          <w:spacing w:val="8"/>
          <w:sz w:val="32"/>
          <w:szCs w:val="32"/>
          <w:highlight w:val="none"/>
          <w:lang w:eastAsia="zh-CN"/>
        </w:rPr>
      </w:pPr>
      <w:r>
        <w:rPr>
          <w:rFonts w:hint="eastAsia" w:ascii="黑体" w:hAnsi="黑体" w:eastAsia="黑体" w:cs="黑体"/>
          <w:spacing w:val="8"/>
          <w:sz w:val="32"/>
          <w:szCs w:val="32"/>
          <w:highlight w:val="none"/>
          <w:lang w:eastAsia="zh-CN"/>
        </w:rPr>
        <w:t>五、资助金额：</w:t>
      </w:r>
      <w:r>
        <w:rPr>
          <w:rFonts w:hint="eastAsia" w:ascii="仿宋_GB2312" w:hAnsi="仿宋_GB2312" w:eastAsia="仿宋_GB2312" w:cs="仿宋_GB2312"/>
          <w:spacing w:val="8"/>
          <w:sz w:val="32"/>
          <w:szCs w:val="32"/>
          <w:highlight w:val="none"/>
          <w:lang w:eastAsia="zh-CN"/>
        </w:rPr>
        <w:t>不超过20万元</w:t>
      </w:r>
    </w:p>
    <w:p w14:paraId="1E7026C5">
      <w:pPr>
        <w:pStyle w:val="3"/>
        <w:spacing w:before="47" w:line="560" w:lineRule="exact"/>
        <w:ind w:right="19"/>
        <w:rPr>
          <w:rFonts w:ascii="仿宋_GB2312" w:hAnsi="仿宋_GB2312" w:eastAsia="仿宋_GB2312" w:cs="仿宋_GB2312"/>
          <w:spacing w:val="8"/>
          <w:sz w:val="32"/>
          <w:szCs w:val="32"/>
          <w:highlight w:val="none"/>
          <w:lang w:eastAsia="zh-CN"/>
        </w:rPr>
      </w:pPr>
    </w:p>
    <w:p w14:paraId="3F1786CE">
      <w:pPr>
        <w:pStyle w:val="3"/>
        <w:spacing w:before="47" w:line="560" w:lineRule="exact"/>
        <w:ind w:right="19"/>
        <w:rPr>
          <w:rFonts w:ascii="仿宋_GB2312" w:hAnsi="仿宋_GB2312" w:eastAsia="仿宋_GB2312" w:cs="仿宋_GB2312"/>
          <w:spacing w:val="8"/>
          <w:sz w:val="32"/>
          <w:szCs w:val="32"/>
          <w:highlight w:val="none"/>
          <w:lang w:eastAsia="zh-CN"/>
        </w:rPr>
      </w:pPr>
    </w:p>
    <w:p w14:paraId="59F81E6C">
      <w:pPr>
        <w:pStyle w:val="3"/>
        <w:spacing w:before="47" w:line="560" w:lineRule="exact"/>
        <w:ind w:right="19"/>
        <w:rPr>
          <w:rFonts w:ascii="仿宋_GB2312" w:hAnsi="仿宋_GB2312" w:eastAsia="仿宋_GB2312" w:cs="仿宋_GB2312"/>
          <w:spacing w:val="8"/>
          <w:sz w:val="32"/>
          <w:szCs w:val="32"/>
          <w:highlight w:val="none"/>
          <w:lang w:eastAsia="zh-CN"/>
        </w:rPr>
      </w:pPr>
    </w:p>
    <w:p w14:paraId="79828B14">
      <w:pPr>
        <w:pStyle w:val="3"/>
        <w:spacing w:before="47" w:line="560" w:lineRule="exact"/>
        <w:ind w:right="19"/>
        <w:rPr>
          <w:rFonts w:ascii="仿宋_GB2312" w:hAnsi="仿宋_GB2312" w:eastAsia="仿宋_GB2312" w:cs="仿宋_GB2312"/>
          <w:spacing w:val="8"/>
          <w:sz w:val="32"/>
          <w:szCs w:val="32"/>
          <w:highlight w:val="none"/>
          <w:lang w:eastAsia="zh-CN"/>
        </w:rPr>
      </w:pPr>
    </w:p>
    <w:p w14:paraId="3A129605">
      <w:pPr>
        <w:pStyle w:val="3"/>
        <w:spacing w:before="47" w:line="560" w:lineRule="exact"/>
        <w:ind w:right="19"/>
        <w:jc w:val="center"/>
        <w:rPr>
          <w:rFonts w:hint="eastAsia" w:ascii="仿宋_GB2312" w:hAnsi="仿宋_GB2312" w:eastAsia="仿宋_GB2312" w:cs="仿宋_GB2312"/>
          <w:b/>
          <w:bCs/>
          <w:spacing w:val="8"/>
          <w:sz w:val="32"/>
          <w:szCs w:val="32"/>
          <w:highlight w:val="none"/>
          <w:lang w:eastAsia="zh-CN"/>
        </w:rPr>
      </w:pPr>
      <w:r>
        <w:rPr>
          <w:rFonts w:hint="eastAsia" w:ascii="黑体" w:hAnsi="黑体" w:eastAsia="黑体" w:cs="黑体"/>
          <w:b/>
          <w:bCs/>
          <w:spacing w:val="8"/>
          <w:sz w:val="32"/>
          <w:szCs w:val="32"/>
          <w:highlight w:val="none"/>
          <w:lang w:val="en-US" w:eastAsia="zh-CN"/>
        </w:rPr>
        <w:t>面</w:t>
      </w:r>
      <w:r>
        <w:rPr>
          <w:rFonts w:hint="eastAsia" w:ascii="黑体" w:hAnsi="黑体" w:eastAsia="黑体" w:cs="黑体"/>
          <w:b/>
          <w:bCs/>
          <w:spacing w:val="8"/>
          <w:sz w:val="32"/>
          <w:szCs w:val="32"/>
          <w:highlight w:val="none"/>
          <w:lang w:eastAsia="zh-CN"/>
        </w:rPr>
        <w:t>2025</w:t>
      </w:r>
      <w:r>
        <w:rPr>
          <w:rFonts w:hint="eastAsia" w:ascii="黑体" w:hAnsi="黑体" w:eastAsia="黑体" w:cs="黑体"/>
          <w:b/>
          <w:bCs/>
          <w:spacing w:val="8"/>
          <w:sz w:val="32"/>
          <w:szCs w:val="32"/>
          <w:highlight w:val="none"/>
          <w:lang w:val="en-US" w:eastAsia="zh-CN"/>
        </w:rPr>
        <w:t xml:space="preserve">10010 </w:t>
      </w:r>
      <w:r>
        <w:rPr>
          <w:rFonts w:hint="eastAsia" w:ascii="黑体" w:hAnsi="黑体" w:eastAsia="黑体" w:cs="黑体"/>
          <w:b/>
          <w:bCs/>
          <w:spacing w:val="8"/>
          <w:sz w:val="32"/>
          <w:szCs w:val="32"/>
          <w:highlight w:val="none"/>
          <w:lang w:eastAsia="zh-CN"/>
        </w:rPr>
        <w:t>基于机器学习探讨血液生化指标在儿童营养状况的评估作用</w:t>
      </w:r>
    </w:p>
    <w:p w14:paraId="3CBE47D3">
      <w:pPr>
        <w:spacing w:before="91" w:line="560" w:lineRule="exact"/>
        <w:ind w:right="248"/>
        <w:jc w:val="both"/>
        <w:outlineLvl w:val="0"/>
        <w:rPr>
          <w:rFonts w:hint="eastAsia" w:ascii="仿宋_GB2312" w:hAnsi="仿宋_GB2312" w:eastAsia="仿宋_GB2312" w:cs="仿宋_GB2312"/>
          <w:bCs/>
          <w:spacing w:val="8"/>
          <w:sz w:val="32"/>
          <w:szCs w:val="32"/>
          <w:highlight w:val="none"/>
          <w:lang w:eastAsia="zh-CN"/>
        </w:rPr>
      </w:pPr>
      <w:r>
        <w:rPr>
          <w:rFonts w:hint="eastAsia" w:ascii="黑体" w:hAnsi="黑体" w:eastAsia="黑体" w:cs="黑体"/>
          <w:b w:val="0"/>
          <w:bCs w:val="0"/>
          <w:spacing w:val="8"/>
          <w:sz w:val="32"/>
          <w:szCs w:val="32"/>
          <w:highlight w:val="none"/>
          <w:lang w:eastAsia="zh-CN"/>
        </w:rPr>
        <w:t>一、领域：</w:t>
      </w:r>
      <w:r>
        <w:rPr>
          <w:rFonts w:hint="eastAsia" w:ascii="仿宋_GB2312" w:hAnsi="仿宋_GB2312" w:eastAsia="仿宋_GB2312" w:cs="仿宋_GB2312"/>
          <w:bCs/>
          <w:spacing w:val="8"/>
          <w:sz w:val="32"/>
          <w:szCs w:val="32"/>
          <w:highlight w:val="none"/>
          <w:lang w:eastAsia="zh-CN"/>
        </w:rPr>
        <w:t>儿童营养</w:t>
      </w:r>
    </w:p>
    <w:p w14:paraId="120B51BF">
      <w:pPr>
        <w:spacing w:before="91" w:line="560" w:lineRule="exact"/>
        <w:ind w:right="248"/>
        <w:jc w:val="both"/>
        <w:outlineLvl w:val="0"/>
        <w:rPr>
          <w:rFonts w:hint="eastAsia" w:ascii="黑体" w:hAnsi="黑体" w:eastAsia="黑体" w:cs="黑体"/>
          <w:b w:val="0"/>
          <w:bCs w:val="0"/>
          <w:spacing w:val="8"/>
          <w:sz w:val="32"/>
          <w:szCs w:val="32"/>
          <w:highlight w:val="none"/>
          <w:lang w:eastAsia="zh-CN"/>
        </w:rPr>
      </w:pPr>
      <w:r>
        <w:rPr>
          <w:rFonts w:hint="eastAsia" w:ascii="黑体" w:hAnsi="黑体" w:eastAsia="黑体" w:cs="黑体"/>
          <w:b w:val="0"/>
          <w:bCs w:val="0"/>
          <w:spacing w:val="8"/>
          <w:sz w:val="32"/>
          <w:szCs w:val="32"/>
          <w:highlight w:val="none"/>
          <w:lang w:eastAsia="zh-CN"/>
        </w:rPr>
        <w:t>二、主要研究内容</w:t>
      </w:r>
    </w:p>
    <w:p w14:paraId="3A5AFC62">
      <w:pPr>
        <w:spacing w:before="91" w:line="560" w:lineRule="exact"/>
        <w:ind w:right="248" w:firstLine="672" w:firstLineChars="200"/>
        <w:jc w:val="both"/>
        <w:outlineLvl w:val="0"/>
        <w:rPr>
          <w:rFonts w:hint="eastAsia" w:ascii="仿宋_GB2312" w:hAnsi="仿宋_GB2312" w:eastAsia="仿宋_GB2312" w:cs="仿宋_GB2312"/>
          <w:bCs/>
          <w:spacing w:val="8"/>
          <w:sz w:val="32"/>
          <w:szCs w:val="32"/>
          <w:highlight w:val="none"/>
          <w:lang w:eastAsia="zh-CN"/>
        </w:rPr>
      </w:pPr>
      <w:r>
        <w:rPr>
          <w:rFonts w:hint="eastAsia" w:ascii="仿宋_GB2312" w:hAnsi="仿宋_GB2312" w:eastAsia="仿宋_GB2312" w:cs="仿宋_GB2312"/>
          <w:bCs/>
          <w:spacing w:val="8"/>
          <w:sz w:val="32"/>
          <w:szCs w:val="32"/>
          <w:highlight w:val="none"/>
          <w:lang w:eastAsia="zh-CN"/>
        </w:rPr>
        <w:t>随着社会经济快速发展，人民物质水平日益提高，高热量、高脂、高糖等食物过量摄入引起儿童超重肥胖问题日益凸显。开展血液中营养与代谢相关生化指标对预测儿童营养状况的相关研究。研究内容要覆盖尽量多的不同营养水平儿童受试者类型，可采用身体质量指数（BMI）协助分组；</w:t>
      </w:r>
    </w:p>
    <w:p w14:paraId="6FDA79E7">
      <w:pPr>
        <w:spacing w:before="91" w:line="560" w:lineRule="exact"/>
        <w:ind w:right="248"/>
        <w:jc w:val="both"/>
        <w:outlineLvl w:val="0"/>
        <w:rPr>
          <w:rFonts w:hint="eastAsia" w:ascii="黑体" w:hAnsi="黑体" w:eastAsia="黑体" w:cs="黑体"/>
          <w:b w:val="0"/>
          <w:bCs w:val="0"/>
          <w:spacing w:val="8"/>
          <w:sz w:val="32"/>
          <w:szCs w:val="32"/>
          <w:highlight w:val="none"/>
          <w:lang w:eastAsia="zh-CN"/>
        </w:rPr>
      </w:pPr>
      <w:r>
        <w:rPr>
          <w:rFonts w:hint="eastAsia" w:ascii="黑体" w:hAnsi="黑体" w:eastAsia="黑体" w:cs="黑体"/>
          <w:b w:val="0"/>
          <w:bCs w:val="0"/>
          <w:spacing w:val="8"/>
          <w:sz w:val="32"/>
          <w:szCs w:val="32"/>
          <w:highlight w:val="none"/>
          <w:lang w:eastAsia="zh-CN"/>
        </w:rPr>
        <w:t>三、项目考核指标（项目执行期内）</w:t>
      </w:r>
    </w:p>
    <w:p w14:paraId="264CCF0F">
      <w:pPr>
        <w:spacing w:before="91" w:line="560" w:lineRule="exact"/>
        <w:ind w:right="248" w:firstLine="672" w:firstLineChars="200"/>
        <w:jc w:val="both"/>
        <w:outlineLvl w:val="0"/>
        <w:rPr>
          <w:rFonts w:hint="eastAsia" w:ascii="仿宋_GB2312" w:hAnsi="仿宋_GB2312" w:eastAsia="仿宋_GB2312" w:cs="仿宋_GB2312"/>
          <w:bCs/>
          <w:spacing w:val="8"/>
          <w:sz w:val="32"/>
          <w:szCs w:val="32"/>
          <w:highlight w:val="none"/>
          <w:lang w:eastAsia="zh-CN"/>
        </w:rPr>
      </w:pPr>
      <w:r>
        <w:rPr>
          <w:rFonts w:hint="eastAsia" w:ascii="仿宋_GB2312" w:hAnsi="仿宋_GB2312" w:eastAsia="仿宋_GB2312" w:cs="仿宋_GB2312"/>
          <w:bCs/>
          <w:spacing w:val="8"/>
          <w:sz w:val="32"/>
          <w:szCs w:val="32"/>
          <w:highlight w:val="none"/>
          <w:lang w:eastAsia="zh-CN"/>
        </w:rPr>
        <w:t>（一）学术指标：</w:t>
      </w:r>
    </w:p>
    <w:p w14:paraId="0A3D8148">
      <w:pPr>
        <w:spacing w:before="91" w:line="560" w:lineRule="exact"/>
        <w:ind w:right="248" w:firstLine="672" w:firstLineChars="200"/>
        <w:jc w:val="both"/>
        <w:outlineLvl w:val="0"/>
        <w:rPr>
          <w:rFonts w:hint="eastAsia" w:ascii="仿宋_GB2312" w:hAnsi="仿宋_GB2312" w:eastAsia="仿宋_GB2312" w:cs="仿宋_GB2312"/>
          <w:bCs/>
          <w:spacing w:val="8"/>
          <w:sz w:val="32"/>
          <w:szCs w:val="32"/>
          <w:highlight w:val="none"/>
          <w:lang w:eastAsia="zh-CN"/>
        </w:rPr>
      </w:pPr>
      <w:r>
        <w:rPr>
          <w:rFonts w:hint="eastAsia" w:ascii="仿宋_GB2312" w:hAnsi="仿宋_GB2312" w:eastAsia="仿宋_GB2312" w:cs="仿宋_GB2312"/>
          <w:bCs/>
          <w:spacing w:val="8"/>
          <w:sz w:val="32"/>
          <w:szCs w:val="32"/>
          <w:highlight w:val="none"/>
          <w:lang w:eastAsia="zh-CN"/>
        </w:rPr>
        <w:t>发表中文或SCI论文≥1篇；</w:t>
      </w:r>
    </w:p>
    <w:p w14:paraId="0075F4F7">
      <w:pPr>
        <w:spacing w:before="91" w:line="560" w:lineRule="exact"/>
        <w:ind w:right="248" w:firstLine="672" w:firstLineChars="200"/>
        <w:jc w:val="both"/>
        <w:outlineLvl w:val="0"/>
        <w:rPr>
          <w:rFonts w:hint="eastAsia" w:ascii="仿宋_GB2312" w:hAnsi="仿宋_GB2312" w:eastAsia="仿宋_GB2312" w:cs="仿宋_GB2312"/>
          <w:bCs/>
          <w:spacing w:val="8"/>
          <w:sz w:val="32"/>
          <w:szCs w:val="32"/>
          <w:highlight w:val="none"/>
          <w:lang w:eastAsia="zh-CN"/>
        </w:rPr>
      </w:pPr>
      <w:r>
        <w:rPr>
          <w:rFonts w:hint="eastAsia" w:ascii="仿宋_GB2312" w:hAnsi="仿宋_GB2312" w:eastAsia="仿宋_GB2312" w:cs="仿宋_GB2312"/>
          <w:bCs/>
          <w:spacing w:val="8"/>
          <w:sz w:val="32"/>
          <w:szCs w:val="32"/>
          <w:highlight w:val="none"/>
          <w:lang w:eastAsia="zh-CN"/>
        </w:rPr>
        <w:t>（二）技术指标：</w:t>
      </w:r>
    </w:p>
    <w:p w14:paraId="6963EF90">
      <w:pPr>
        <w:spacing w:before="91" w:line="560" w:lineRule="exact"/>
        <w:ind w:right="248" w:firstLine="672" w:firstLineChars="200"/>
        <w:jc w:val="both"/>
        <w:outlineLvl w:val="0"/>
        <w:rPr>
          <w:rFonts w:hint="eastAsia" w:ascii="仿宋_GB2312" w:hAnsi="仿宋_GB2312" w:eastAsia="仿宋_GB2312" w:cs="仿宋_GB2312"/>
          <w:bCs/>
          <w:spacing w:val="8"/>
          <w:sz w:val="32"/>
          <w:szCs w:val="32"/>
          <w:highlight w:val="none"/>
          <w:lang w:eastAsia="zh-CN"/>
        </w:rPr>
      </w:pPr>
      <w:r>
        <w:rPr>
          <w:rFonts w:hint="eastAsia" w:ascii="仿宋_GB2312" w:hAnsi="仿宋_GB2312" w:eastAsia="仿宋_GB2312" w:cs="仿宋_GB2312"/>
          <w:bCs/>
          <w:spacing w:val="8"/>
          <w:sz w:val="32"/>
          <w:szCs w:val="32"/>
          <w:highlight w:val="none"/>
          <w:lang w:eastAsia="zh-CN"/>
        </w:rPr>
        <w:t>基于儿童的临床数据，包括临床一般资料、既往病史、血液生化指标等相关指标数据的研究，建立儿童早期营养不良诊断的最优机器学习算法模型，输出分析儿童生长发育过程中营养不良相关风险因素的评估报告≥1份。</w:t>
      </w:r>
    </w:p>
    <w:p w14:paraId="566614D3">
      <w:pPr>
        <w:spacing w:before="91" w:line="560" w:lineRule="exact"/>
        <w:ind w:right="248"/>
        <w:jc w:val="both"/>
        <w:outlineLvl w:val="0"/>
        <w:rPr>
          <w:rFonts w:hint="eastAsia" w:ascii="仿宋_GB2312" w:hAnsi="仿宋_GB2312" w:eastAsia="仿宋_GB2312" w:cs="仿宋_GB2312"/>
          <w:bCs/>
          <w:spacing w:val="8"/>
          <w:sz w:val="32"/>
          <w:szCs w:val="32"/>
          <w:highlight w:val="none"/>
          <w:lang w:eastAsia="zh-CN"/>
        </w:rPr>
      </w:pPr>
      <w:r>
        <w:rPr>
          <w:rFonts w:hint="eastAsia" w:ascii="黑体" w:hAnsi="黑体" w:eastAsia="黑体" w:cs="黑体"/>
          <w:b w:val="0"/>
          <w:bCs w:val="0"/>
          <w:spacing w:val="8"/>
          <w:sz w:val="32"/>
          <w:szCs w:val="32"/>
          <w:highlight w:val="none"/>
          <w:lang w:eastAsia="zh-CN"/>
        </w:rPr>
        <w:t>四、项目实施年限：</w:t>
      </w:r>
      <w:r>
        <w:rPr>
          <w:rFonts w:hint="eastAsia" w:ascii="仿宋_GB2312" w:hAnsi="仿宋_GB2312" w:eastAsia="仿宋_GB2312" w:cs="仿宋_GB2312"/>
          <w:bCs/>
          <w:spacing w:val="8"/>
          <w:sz w:val="32"/>
          <w:szCs w:val="32"/>
          <w:highlight w:val="none"/>
          <w:lang w:eastAsia="zh-CN"/>
        </w:rPr>
        <w:t>不超过2年</w:t>
      </w:r>
    </w:p>
    <w:p w14:paraId="51B358D8">
      <w:pPr>
        <w:spacing w:before="91" w:line="560" w:lineRule="exact"/>
        <w:ind w:right="248"/>
        <w:jc w:val="both"/>
        <w:outlineLvl w:val="0"/>
        <w:rPr>
          <w:rFonts w:hint="eastAsia" w:ascii="仿宋_GB2312" w:hAnsi="仿宋_GB2312" w:eastAsia="仿宋_GB2312" w:cs="仿宋_GB2312"/>
          <w:bCs/>
          <w:spacing w:val="8"/>
          <w:sz w:val="32"/>
          <w:szCs w:val="32"/>
          <w:highlight w:val="none"/>
          <w:lang w:eastAsia="zh-CN"/>
        </w:rPr>
      </w:pPr>
      <w:r>
        <w:rPr>
          <w:rFonts w:hint="eastAsia" w:ascii="黑体" w:hAnsi="黑体" w:eastAsia="黑体" w:cs="黑体"/>
          <w:b w:val="0"/>
          <w:bCs w:val="0"/>
          <w:spacing w:val="8"/>
          <w:sz w:val="32"/>
          <w:szCs w:val="32"/>
          <w:highlight w:val="none"/>
          <w:lang w:eastAsia="zh-CN"/>
        </w:rPr>
        <w:t>五、资助金额：</w:t>
      </w:r>
      <w:r>
        <w:rPr>
          <w:rFonts w:hint="eastAsia" w:ascii="仿宋_GB2312" w:hAnsi="仿宋_GB2312" w:eastAsia="仿宋_GB2312" w:cs="仿宋_GB2312"/>
          <w:bCs/>
          <w:spacing w:val="8"/>
          <w:sz w:val="32"/>
          <w:szCs w:val="32"/>
          <w:highlight w:val="none"/>
          <w:lang w:eastAsia="zh-CN"/>
        </w:rPr>
        <w:t>不超过2万元</w:t>
      </w:r>
    </w:p>
    <w:p w14:paraId="7E5C0F10">
      <w:pPr>
        <w:spacing w:before="91" w:line="560" w:lineRule="exact"/>
        <w:ind w:right="248"/>
        <w:jc w:val="both"/>
        <w:outlineLvl w:val="0"/>
        <w:rPr>
          <w:rFonts w:hint="eastAsia" w:ascii="仿宋_GB2312" w:hAnsi="仿宋_GB2312" w:eastAsia="仿宋_GB2312" w:cs="仿宋_GB2312"/>
          <w:bCs/>
          <w:spacing w:val="8"/>
          <w:sz w:val="32"/>
          <w:szCs w:val="32"/>
          <w:highlight w:val="none"/>
          <w:lang w:eastAsia="zh-CN"/>
        </w:rPr>
      </w:pPr>
    </w:p>
    <w:p w14:paraId="6E9D7990">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imes New Roman" w:hAnsi="Times New Roman" w:eastAsiaTheme="minorEastAsia"/>
          <w:b/>
          <w:bCs/>
          <w:sz w:val="32"/>
          <w:highlight w:val="none"/>
        </w:rPr>
      </w:pPr>
    </w:p>
    <w:p w14:paraId="6A45A35A">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黑体" w:hAnsi="黑体" w:eastAsia="黑体" w:cs="黑体"/>
          <w:b/>
          <w:bCs/>
          <w:sz w:val="32"/>
          <w:highlight w:val="none"/>
        </w:rPr>
      </w:pPr>
      <w:r>
        <w:rPr>
          <w:rFonts w:hint="eastAsia" w:ascii="黑体" w:hAnsi="黑体" w:eastAsia="黑体" w:cs="黑体"/>
          <w:b/>
          <w:bCs/>
          <w:spacing w:val="8"/>
          <w:sz w:val="32"/>
          <w:szCs w:val="32"/>
          <w:highlight w:val="none"/>
          <w:lang w:val="en-US" w:eastAsia="zh-CN"/>
        </w:rPr>
        <w:t>面</w:t>
      </w:r>
      <w:r>
        <w:rPr>
          <w:rFonts w:hint="eastAsia" w:ascii="黑体" w:hAnsi="黑体" w:eastAsia="黑体" w:cs="黑体"/>
          <w:b/>
          <w:bCs/>
          <w:spacing w:val="8"/>
          <w:sz w:val="32"/>
          <w:szCs w:val="32"/>
          <w:highlight w:val="none"/>
          <w:lang w:eastAsia="zh-CN"/>
        </w:rPr>
        <w:t>2025</w:t>
      </w:r>
      <w:r>
        <w:rPr>
          <w:rFonts w:hint="eastAsia" w:ascii="黑体" w:hAnsi="黑体" w:eastAsia="黑体" w:cs="黑体"/>
          <w:b/>
          <w:bCs/>
          <w:spacing w:val="8"/>
          <w:sz w:val="32"/>
          <w:szCs w:val="32"/>
          <w:highlight w:val="none"/>
          <w:lang w:val="en-US" w:eastAsia="zh-CN"/>
        </w:rPr>
        <w:t xml:space="preserve">10011 </w:t>
      </w:r>
      <w:r>
        <w:rPr>
          <w:rFonts w:hint="eastAsia" w:ascii="黑体" w:hAnsi="黑体" w:eastAsia="黑体" w:cs="黑体"/>
          <w:b/>
          <w:bCs/>
          <w:sz w:val="32"/>
          <w:highlight w:val="none"/>
        </w:rPr>
        <w:t>肺炎克雷伯菌通过PBP1B-TLR4轴驱动结直肠癌的机制与干预策略研究</w:t>
      </w:r>
    </w:p>
    <w:p w14:paraId="78C0F545">
      <w:pPr>
        <w:keepNext w:val="0"/>
        <w:keepLines w:val="0"/>
        <w:pageBreakBefore w:val="0"/>
        <w:widowControl w:val="0"/>
        <w:kinsoku/>
        <w:wordWrap/>
        <w:overflowPunct/>
        <w:topLinePunct w:val="0"/>
        <w:autoSpaceDE/>
        <w:autoSpaceDN/>
        <w:bidi w:val="0"/>
        <w:adjustRightInd/>
        <w:snapToGrid/>
        <w:spacing w:before="157" w:beforeLines="50" w:line="300" w:lineRule="auto"/>
        <w:textAlignment w:val="auto"/>
        <w:rPr>
          <w:rFonts w:hint="eastAsia" w:ascii="Times New Roman" w:hAnsi="Times New Roman"/>
          <w:sz w:val="24"/>
          <w:highlight w:val="none"/>
        </w:rPr>
      </w:pPr>
      <w:r>
        <w:rPr>
          <w:rFonts w:hint="eastAsia" w:ascii="黑体" w:hAnsi="黑体" w:eastAsia="黑体" w:cs="黑体"/>
          <w:sz w:val="32"/>
          <w:szCs w:val="32"/>
          <w:highlight w:val="none"/>
        </w:rPr>
        <w:t>一、领域：</w:t>
      </w:r>
      <w:r>
        <w:rPr>
          <w:rFonts w:hint="eastAsia" w:ascii="仿宋_GB2312" w:hAnsi="仿宋_GB2312" w:eastAsia="仿宋_GB2312" w:cs="仿宋_GB2312"/>
          <w:sz w:val="32"/>
          <w:szCs w:val="32"/>
          <w:highlight w:val="none"/>
        </w:rPr>
        <w:t>医学微生物学与肿瘤学</w:t>
      </w:r>
    </w:p>
    <w:p w14:paraId="25E64ACF">
      <w:pPr>
        <w:keepNext w:val="0"/>
        <w:keepLines w:val="0"/>
        <w:pageBreakBefore w:val="0"/>
        <w:widowControl w:val="0"/>
        <w:kinsoku/>
        <w:wordWrap/>
        <w:overflowPunct/>
        <w:topLinePunct w:val="0"/>
        <w:autoSpaceDE/>
        <w:autoSpaceDN/>
        <w:bidi w:val="0"/>
        <w:adjustRightInd/>
        <w:snapToGrid/>
        <w:spacing w:before="157" w:beforeLines="50" w:line="300" w:lineRule="auto"/>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二、主要研究内容</w:t>
      </w:r>
    </w:p>
    <w:p w14:paraId="08C8B267">
      <w:pPr>
        <w:keepNext w:val="0"/>
        <w:keepLines w:val="0"/>
        <w:pageBreakBefore w:val="0"/>
        <w:widowControl w:val="0"/>
        <w:kinsoku/>
        <w:wordWrap/>
        <w:overflowPunct/>
        <w:topLinePunct w:val="0"/>
        <w:autoSpaceDE/>
        <w:autoSpaceDN/>
        <w:bidi w:val="0"/>
        <w:adjustRightInd/>
        <w:snapToGrid/>
        <w:spacing w:before="157" w:beforeLines="50" w:line="300" w:lineRule="auto"/>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围绕肺炎克雷伯菌（Kp）与结直肠癌（CRC），特别是早发性CRC的关联，通过临床队列分析、体内外功能实验和干预策略研究，深入探讨Kp（尤其是CR-hvKP菌株）在肠道中的定植特征与临床病理关系，揭示其表面蛋白PBP1B通过激活TLR4/MyD88/NF-κB信号通路破坏肠道屏障、诱导炎症及促进肿瘤发生的分子机制，并评估靶向Kp定植（益生菌竞争）和阻断下游信号（TLR4抑制剂）的干预策略效果，为Kp相关CRC的早期诊断、风险分层和精准防治提供新靶点和实验依据。</w:t>
      </w:r>
    </w:p>
    <w:p w14:paraId="7A5CBCBA">
      <w:pPr>
        <w:keepNext w:val="0"/>
        <w:keepLines w:val="0"/>
        <w:pageBreakBefore w:val="0"/>
        <w:widowControl w:val="0"/>
        <w:kinsoku/>
        <w:wordWrap/>
        <w:overflowPunct/>
        <w:topLinePunct w:val="0"/>
        <w:autoSpaceDE/>
        <w:autoSpaceDN/>
        <w:bidi w:val="0"/>
        <w:adjustRightInd/>
        <w:snapToGrid/>
        <w:spacing w:before="157" w:beforeLines="50" w:line="300" w:lineRule="auto"/>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三、项目考核指标（项目执行期内）</w:t>
      </w:r>
    </w:p>
    <w:p w14:paraId="442803C2">
      <w:pPr>
        <w:keepNext w:val="0"/>
        <w:keepLines w:val="0"/>
        <w:pageBreakBefore w:val="0"/>
        <w:widowControl w:val="0"/>
        <w:kinsoku/>
        <w:wordWrap/>
        <w:overflowPunct/>
        <w:topLinePunct w:val="0"/>
        <w:autoSpaceDE/>
        <w:autoSpaceDN/>
        <w:bidi w:val="0"/>
        <w:adjustRightInd/>
        <w:snapToGrid/>
        <w:spacing w:before="157" w:beforeLines="50" w:line="300" w:lineRule="auto"/>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（一）学术指标：</w:t>
      </w:r>
    </w:p>
    <w:p w14:paraId="5F56612E">
      <w:pPr>
        <w:keepNext w:val="0"/>
        <w:keepLines w:val="0"/>
        <w:pageBreakBefore w:val="0"/>
        <w:widowControl w:val="0"/>
        <w:kinsoku/>
        <w:wordWrap/>
        <w:overflowPunct/>
        <w:topLinePunct w:val="0"/>
        <w:autoSpaceDE/>
        <w:autoSpaceDN/>
        <w:bidi w:val="0"/>
        <w:adjustRightInd/>
        <w:snapToGrid/>
        <w:spacing w:before="157" w:beforeLines="50" w:line="300" w:lineRule="auto"/>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发表</w:t>
      </w:r>
      <w:r>
        <w:rPr>
          <w:rFonts w:hint="eastAsia" w:ascii="仿宋_GB2312" w:hAnsi="仿宋_GB2312" w:eastAsia="仿宋_GB2312" w:cs="仿宋_GB2312"/>
          <w:bCs/>
          <w:spacing w:val="8"/>
          <w:sz w:val="32"/>
          <w:szCs w:val="32"/>
          <w:highlight w:val="none"/>
          <w:lang w:eastAsia="zh-CN"/>
        </w:rPr>
        <w:t>中文或SCI论文</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篇；</w:t>
      </w:r>
    </w:p>
    <w:p w14:paraId="31C6BAB6">
      <w:pPr>
        <w:keepNext w:val="0"/>
        <w:keepLines w:val="0"/>
        <w:pageBreakBefore w:val="0"/>
        <w:widowControl w:val="0"/>
        <w:kinsoku/>
        <w:wordWrap/>
        <w:overflowPunct/>
        <w:topLinePunct w:val="0"/>
        <w:autoSpaceDE/>
        <w:autoSpaceDN/>
        <w:bidi w:val="0"/>
        <w:adjustRightInd/>
        <w:snapToGrid/>
        <w:spacing w:before="157" w:beforeLines="50" w:line="300" w:lineRule="auto"/>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（二）技术指标：</w:t>
      </w:r>
    </w:p>
    <w:p w14:paraId="6A1FF48F">
      <w:pPr>
        <w:keepNext w:val="0"/>
        <w:keepLines w:val="0"/>
        <w:pageBreakBefore w:val="0"/>
        <w:widowControl w:val="0"/>
        <w:kinsoku/>
        <w:wordWrap/>
        <w:overflowPunct/>
        <w:topLinePunct w:val="0"/>
        <w:autoSpaceDE/>
        <w:autoSpaceDN/>
        <w:bidi w:val="0"/>
        <w:adjustRightInd/>
        <w:snapToGrid/>
        <w:spacing w:before="157" w:beforeLines="50" w:line="300" w:lineRule="auto"/>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基于以上研究内容</w:t>
      </w:r>
      <w:r>
        <w:rPr>
          <w:rFonts w:hint="eastAsia" w:ascii="仿宋_GB2312" w:hAnsi="仿宋_GB2312" w:eastAsia="仿宋_GB2312" w:cs="仿宋_GB2312"/>
          <w:sz w:val="32"/>
          <w:szCs w:val="32"/>
          <w:highlight w:val="none"/>
        </w:rPr>
        <w:t>形成≥1份</w:t>
      </w:r>
      <w:r>
        <w:rPr>
          <w:rFonts w:hint="eastAsia" w:ascii="仿宋_GB2312" w:hAnsi="仿宋_GB2312" w:eastAsia="仿宋_GB2312" w:cs="仿宋_GB2312"/>
          <w:sz w:val="32"/>
          <w:szCs w:val="32"/>
          <w:highlight w:val="none"/>
          <w:lang w:val="en-US" w:eastAsia="zh-CN"/>
        </w:rPr>
        <w:t>项目</w:t>
      </w:r>
      <w:r>
        <w:rPr>
          <w:rFonts w:hint="eastAsia" w:ascii="仿宋_GB2312" w:hAnsi="仿宋_GB2312" w:eastAsia="仿宋_GB2312" w:cs="仿宋_GB2312"/>
          <w:sz w:val="32"/>
          <w:szCs w:val="32"/>
          <w:highlight w:val="none"/>
        </w:rPr>
        <w:t>分析报告，系统阐述Kp‑PBP1B‑TLR4轴在CRC中的作用机制、临床关联性及干预策略，并提交完整的菌株基因组数据库、动物模型标准操作流程及关键实验数据。</w:t>
      </w:r>
    </w:p>
    <w:p w14:paraId="6CC11AB7">
      <w:pPr>
        <w:keepNext w:val="0"/>
        <w:keepLines w:val="0"/>
        <w:pageBreakBefore w:val="0"/>
        <w:widowControl w:val="0"/>
        <w:kinsoku/>
        <w:wordWrap/>
        <w:overflowPunct/>
        <w:topLinePunct w:val="0"/>
        <w:autoSpaceDE/>
        <w:autoSpaceDN/>
        <w:bidi w:val="0"/>
        <w:adjustRightInd/>
        <w:snapToGrid/>
        <w:spacing w:before="157" w:beforeLines="50" w:line="300" w:lineRule="auto"/>
        <w:textAlignment w:val="auto"/>
        <w:rPr>
          <w:rFonts w:hint="eastAsia" w:ascii="Times New Roman" w:hAnsi="Times New Roman"/>
          <w:sz w:val="24"/>
          <w:highlight w:val="none"/>
        </w:rPr>
      </w:pPr>
      <w:r>
        <w:rPr>
          <w:rFonts w:hint="eastAsia" w:ascii="黑体" w:hAnsi="黑体" w:eastAsia="黑体" w:cs="黑体"/>
          <w:sz w:val="32"/>
          <w:szCs w:val="32"/>
          <w:highlight w:val="none"/>
        </w:rPr>
        <w:t>四、项目实施年限</w:t>
      </w:r>
      <w:r>
        <w:rPr>
          <w:rFonts w:hint="eastAsia" w:ascii="黑体" w:hAnsi="黑体" w:eastAsia="黑体" w:cs="黑体"/>
          <w:b/>
          <w:bCs/>
          <w:sz w:val="24"/>
          <w:highlight w:val="none"/>
        </w:rPr>
        <w:t>：</w:t>
      </w:r>
      <w:r>
        <w:rPr>
          <w:rFonts w:hint="eastAsia" w:ascii="仿宋_GB2312" w:hAnsi="仿宋_GB2312" w:eastAsia="仿宋_GB2312" w:cs="仿宋_GB2312"/>
          <w:sz w:val="32"/>
          <w:szCs w:val="32"/>
          <w:highlight w:val="none"/>
        </w:rPr>
        <w:t>不超过2年</w:t>
      </w:r>
    </w:p>
    <w:p w14:paraId="44841C70">
      <w:pPr>
        <w:widowControl w:val="0"/>
        <w:kinsoku/>
        <w:autoSpaceDE/>
        <w:autoSpaceDN/>
        <w:adjustRightInd/>
        <w:snapToGrid/>
        <w:spacing w:before="157" w:beforeLines="50" w:line="300" w:lineRule="auto"/>
        <w:textAlignment w:val="auto"/>
        <w:rPr>
          <w:rFonts w:hint="eastAsia" w:ascii="黑体" w:hAnsi="黑体" w:eastAsia="黑体" w:cs="黑体"/>
          <w:b/>
          <w:bCs/>
          <w:spacing w:val="8"/>
          <w:sz w:val="32"/>
          <w:szCs w:val="32"/>
          <w:highlight w:val="none"/>
          <w:lang w:val="en-US" w:eastAsia="zh-CN"/>
        </w:rPr>
      </w:pPr>
      <w:r>
        <w:rPr>
          <w:rFonts w:hint="eastAsia" w:ascii="黑体" w:hAnsi="黑体" w:eastAsia="黑体" w:cs="黑体"/>
          <w:sz w:val="32"/>
          <w:szCs w:val="32"/>
          <w:highlight w:val="none"/>
        </w:rPr>
        <w:t>五、资助金额</w:t>
      </w:r>
      <w:r>
        <w:rPr>
          <w:rFonts w:hint="eastAsia" w:ascii="黑体" w:hAnsi="黑体" w:eastAsia="黑体" w:cs="黑体"/>
          <w:b/>
          <w:bCs/>
          <w:sz w:val="24"/>
          <w:highlight w:val="none"/>
        </w:rPr>
        <w:t>：</w:t>
      </w:r>
      <w:r>
        <w:rPr>
          <w:rFonts w:hint="eastAsia" w:ascii="仿宋_GB2312" w:hAnsi="仿宋_GB2312" w:eastAsia="仿宋_GB2312" w:cs="仿宋_GB2312"/>
          <w:sz w:val="32"/>
          <w:szCs w:val="32"/>
          <w:highlight w:val="none"/>
        </w:rPr>
        <w:t>不超过</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0万元</w:t>
      </w:r>
    </w:p>
    <w:p w14:paraId="4CFC1172">
      <w:pPr>
        <w:pStyle w:val="3"/>
        <w:spacing w:line="560" w:lineRule="exact"/>
        <w:jc w:val="center"/>
        <w:rPr>
          <w:rFonts w:hint="eastAsia" w:ascii="仿宋_GB2312" w:hAnsi="仿宋_GB2312" w:eastAsia="仿宋_GB2312" w:cs="仿宋_GB2312"/>
          <w:b w:val="0"/>
          <w:bCs w:val="0"/>
          <w:spacing w:val="8"/>
          <w:sz w:val="32"/>
          <w:szCs w:val="32"/>
          <w:highlight w:val="none"/>
          <w:lang w:eastAsia="zh-CN"/>
        </w:rPr>
      </w:pPr>
      <w:r>
        <w:rPr>
          <w:rFonts w:hint="eastAsia" w:ascii="黑体" w:hAnsi="黑体" w:eastAsia="黑体" w:cs="黑体"/>
          <w:b/>
          <w:bCs/>
          <w:spacing w:val="8"/>
          <w:sz w:val="32"/>
          <w:szCs w:val="32"/>
          <w:highlight w:val="none"/>
          <w:lang w:val="en-US" w:eastAsia="zh-CN"/>
        </w:rPr>
        <w:t>面</w:t>
      </w:r>
      <w:r>
        <w:rPr>
          <w:rFonts w:hint="eastAsia" w:ascii="黑体" w:hAnsi="黑体" w:eastAsia="黑体" w:cs="黑体"/>
          <w:b/>
          <w:bCs/>
          <w:spacing w:val="8"/>
          <w:sz w:val="32"/>
          <w:szCs w:val="32"/>
          <w:highlight w:val="none"/>
          <w:lang w:eastAsia="zh-CN"/>
        </w:rPr>
        <w:t>2025</w:t>
      </w:r>
      <w:r>
        <w:rPr>
          <w:rFonts w:hint="eastAsia" w:ascii="黑体" w:hAnsi="黑体" w:eastAsia="黑体" w:cs="黑体"/>
          <w:b/>
          <w:bCs/>
          <w:spacing w:val="8"/>
          <w:sz w:val="32"/>
          <w:szCs w:val="32"/>
          <w:highlight w:val="none"/>
          <w:lang w:val="en-US" w:eastAsia="zh-CN"/>
        </w:rPr>
        <w:t>10012 长链非编码RNA调控孤独症的作用机制与临床应用研究</w:t>
      </w:r>
    </w:p>
    <w:p w14:paraId="36E7ED7C">
      <w:pPr>
        <w:pStyle w:val="3"/>
        <w:spacing w:before="47" w:line="560" w:lineRule="exact"/>
        <w:ind w:right="19"/>
        <w:jc w:val="both"/>
        <w:rPr>
          <w:rFonts w:hint="default" w:ascii="仿宋_GB2312" w:hAnsi="仿宋_GB2312" w:eastAsia="仿宋_GB2312" w:cs="仿宋_GB2312"/>
          <w:b w:val="0"/>
          <w:bCs w:val="0"/>
          <w:spacing w:val="8"/>
          <w:sz w:val="32"/>
          <w:szCs w:val="32"/>
          <w:highlight w:val="none"/>
          <w:lang w:val="en-US" w:eastAsia="zh-CN"/>
        </w:rPr>
      </w:pPr>
      <w:r>
        <w:rPr>
          <w:rFonts w:hint="eastAsia" w:ascii="黑体" w:hAnsi="黑体" w:eastAsia="黑体" w:cs="黑体"/>
          <w:b w:val="0"/>
          <w:bCs w:val="0"/>
          <w:spacing w:val="8"/>
          <w:sz w:val="32"/>
          <w:szCs w:val="32"/>
          <w:highlight w:val="none"/>
          <w:lang w:eastAsia="zh-CN"/>
        </w:rPr>
        <w:t>一、领域：</w:t>
      </w:r>
      <w:r>
        <w:rPr>
          <w:rFonts w:hint="eastAsia" w:ascii="仿宋_GB2312" w:hAnsi="仿宋_GB2312" w:eastAsia="仿宋_GB2312" w:cs="仿宋_GB2312"/>
          <w:b w:val="0"/>
          <w:bCs w:val="0"/>
          <w:spacing w:val="8"/>
          <w:sz w:val="32"/>
          <w:szCs w:val="32"/>
          <w:highlight w:val="none"/>
          <w:lang w:eastAsia="zh-CN"/>
        </w:rPr>
        <w:t>筛查、</w:t>
      </w:r>
      <w:r>
        <w:rPr>
          <w:rFonts w:hint="eastAsia" w:ascii="仿宋_GB2312" w:hAnsi="仿宋_GB2312" w:eastAsia="仿宋_GB2312" w:cs="仿宋_GB2312"/>
          <w:b w:val="0"/>
          <w:bCs w:val="0"/>
          <w:spacing w:val="8"/>
          <w:sz w:val="32"/>
          <w:szCs w:val="32"/>
          <w:highlight w:val="none"/>
          <w:lang w:val="en-US" w:eastAsia="zh-CN"/>
        </w:rPr>
        <w:t>孤独症、分子机制研究</w:t>
      </w:r>
    </w:p>
    <w:p w14:paraId="13101B50">
      <w:pPr>
        <w:pStyle w:val="3"/>
        <w:spacing w:before="47" w:line="560" w:lineRule="exact"/>
        <w:ind w:right="19"/>
        <w:jc w:val="both"/>
        <w:rPr>
          <w:rFonts w:hint="eastAsia" w:ascii="黑体" w:hAnsi="黑体" w:eastAsia="黑体" w:cs="黑体"/>
          <w:b w:val="0"/>
          <w:bCs w:val="0"/>
          <w:spacing w:val="8"/>
          <w:sz w:val="32"/>
          <w:szCs w:val="32"/>
          <w:highlight w:val="none"/>
          <w:lang w:eastAsia="zh-CN"/>
        </w:rPr>
      </w:pPr>
      <w:r>
        <w:rPr>
          <w:rFonts w:hint="eastAsia" w:ascii="黑体" w:hAnsi="黑体" w:eastAsia="黑体" w:cs="黑体"/>
          <w:b w:val="0"/>
          <w:bCs w:val="0"/>
          <w:spacing w:val="8"/>
          <w:sz w:val="32"/>
          <w:szCs w:val="32"/>
          <w:highlight w:val="none"/>
          <w:lang w:eastAsia="zh-CN"/>
        </w:rPr>
        <w:t>二、主要研究内容</w:t>
      </w:r>
    </w:p>
    <w:p w14:paraId="3E22AA90">
      <w:pPr>
        <w:pStyle w:val="3"/>
        <w:numPr>
          <w:ilvl w:val="0"/>
          <w:numId w:val="0"/>
        </w:numPr>
        <w:spacing w:before="47" w:line="560" w:lineRule="exact"/>
        <w:ind w:right="19" w:firstLine="672" w:firstLineChars="200"/>
        <w:jc w:val="both"/>
        <w:rPr>
          <w:rFonts w:hint="eastAsia" w:ascii="仿宋_GB2312" w:hAnsi="仿宋_GB2312" w:eastAsia="仿宋_GB2312" w:cs="仿宋_GB2312"/>
          <w:b w:val="0"/>
          <w:bCs w:val="0"/>
          <w:spacing w:val="8"/>
          <w:sz w:val="32"/>
          <w:szCs w:val="32"/>
          <w:highlight w:val="none"/>
          <w:lang w:eastAsia="zh-CN"/>
        </w:rPr>
      </w:pPr>
      <w:r>
        <w:rPr>
          <w:rFonts w:hint="eastAsia" w:ascii="仿宋_GB2312" w:hAnsi="仿宋_GB2312" w:eastAsia="仿宋_GB2312" w:cs="仿宋_GB2312"/>
          <w:b w:val="0"/>
          <w:bCs w:val="0"/>
          <w:spacing w:val="8"/>
          <w:sz w:val="32"/>
          <w:szCs w:val="32"/>
          <w:highlight w:val="none"/>
          <w:lang w:eastAsia="zh-CN"/>
        </w:rPr>
        <w:t>项目聚焦自闭症谱系障碍的分子机制研究，特别是从长链非编码与微小相互作用的角度，探索其在自闭症发生发展中的作用。通过深入研究</w:t>
      </w:r>
      <w:r>
        <w:rPr>
          <w:rFonts w:hint="eastAsia" w:ascii="仿宋_GB2312" w:hAnsi="仿宋_GB2312" w:eastAsia="仿宋_GB2312" w:cs="仿宋_GB2312"/>
          <w:b w:val="0"/>
          <w:bCs w:val="0"/>
          <w:spacing w:val="8"/>
          <w:sz w:val="32"/>
          <w:szCs w:val="32"/>
          <w:highlight w:val="none"/>
          <w:lang w:val="en-US" w:eastAsia="zh-CN"/>
        </w:rPr>
        <w:t>相关</w:t>
      </w:r>
      <w:r>
        <w:rPr>
          <w:rFonts w:hint="eastAsia" w:ascii="仿宋_GB2312" w:hAnsi="仿宋_GB2312" w:eastAsia="仿宋_GB2312" w:cs="仿宋_GB2312"/>
          <w:b w:val="0"/>
          <w:bCs w:val="0"/>
          <w:spacing w:val="8"/>
          <w:sz w:val="32"/>
          <w:szCs w:val="32"/>
          <w:highlight w:val="none"/>
          <w:lang w:eastAsia="zh-CN"/>
        </w:rPr>
        <w:t>信号通路介导的线粒体自噬在自闭症中的机制，旨在为自闭症的早期诊断和治疗提供新的理论依据和潜在靶点。这一领域属于神经科学与分子生物学的交叉领域，具有重要的科学意义和临床应用前景。</w:t>
      </w:r>
    </w:p>
    <w:p w14:paraId="1A2EC609">
      <w:pPr>
        <w:pStyle w:val="3"/>
        <w:numPr>
          <w:ilvl w:val="0"/>
          <w:numId w:val="0"/>
        </w:numPr>
        <w:spacing w:before="47" w:line="560" w:lineRule="exact"/>
        <w:ind w:right="19"/>
        <w:jc w:val="both"/>
        <w:rPr>
          <w:rFonts w:hint="eastAsia" w:ascii="黑体" w:hAnsi="黑体" w:eastAsia="黑体" w:cs="黑体"/>
          <w:b w:val="0"/>
          <w:bCs w:val="0"/>
          <w:spacing w:val="8"/>
          <w:sz w:val="32"/>
          <w:szCs w:val="32"/>
          <w:highlight w:val="none"/>
          <w:lang w:eastAsia="zh-CN"/>
        </w:rPr>
      </w:pPr>
      <w:r>
        <w:rPr>
          <w:rFonts w:hint="eastAsia" w:ascii="黑体" w:hAnsi="黑体" w:eastAsia="黑体" w:cs="黑体"/>
          <w:b w:val="0"/>
          <w:bCs w:val="0"/>
          <w:snapToGrid w:val="0"/>
          <w:color w:val="000000"/>
          <w:spacing w:val="8"/>
          <w:sz w:val="32"/>
          <w:szCs w:val="32"/>
          <w:highlight w:val="none"/>
          <w:lang w:val="en-US" w:eastAsia="zh-CN" w:bidi="ar-SA"/>
        </w:rPr>
        <w:t>三、</w:t>
      </w:r>
      <w:r>
        <w:rPr>
          <w:rFonts w:hint="eastAsia" w:ascii="黑体" w:hAnsi="黑体" w:eastAsia="黑体" w:cs="黑体"/>
          <w:b w:val="0"/>
          <w:bCs w:val="0"/>
          <w:spacing w:val="8"/>
          <w:sz w:val="32"/>
          <w:szCs w:val="32"/>
          <w:highlight w:val="none"/>
          <w:lang w:eastAsia="zh-CN"/>
        </w:rPr>
        <w:t>项目考核指标（项目执行期内）</w:t>
      </w:r>
    </w:p>
    <w:p w14:paraId="4C602A6F">
      <w:pPr>
        <w:pStyle w:val="3"/>
        <w:spacing w:before="47" w:line="560" w:lineRule="exact"/>
        <w:ind w:right="19" w:firstLine="672" w:firstLineChars="200"/>
        <w:jc w:val="both"/>
        <w:rPr>
          <w:rFonts w:hint="eastAsia" w:ascii="仿宋_GB2312" w:hAnsi="仿宋_GB2312" w:eastAsia="仿宋_GB2312" w:cs="仿宋_GB2312"/>
          <w:b w:val="0"/>
          <w:bCs w:val="0"/>
          <w:spacing w:val="8"/>
          <w:sz w:val="32"/>
          <w:szCs w:val="32"/>
          <w:highlight w:val="none"/>
          <w:lang w:eastAsia="zh-CN"/>
        </w:rPr>
      </w:pPr>
      <w:r>
        <w:rPr>
          <w:rFonts w:hint="eastAsia" w:ascii="仿宋_GB2312" w:hAnsi="仿宋_GB2312" w:eastAsia="仿宋_GB2312" w:cs="仿宋_GB2312"/>
          <w:b w:val="0"/>
          <w:bCs w:val="0"/>
          <w:spacing w:val="8"/>
          <w:sz w:val="32"/>
          <w:szCs w:val="32"/>
          <w:highlight w:val="none"/>
          <w:lang w:eastAsia="zh-CN"/>
        </w:rPr>
        <w:t>（一）学术指标：</w:t>
      </w:r>
    </w:p>
    <w:p w14:paraId="581ADD44">
      <w:pPr>
        <w:pStyle w:val="3"/>
        <w:spacing w:before="47" w:line="560" w:lineRule="exact"/>
        <w:ind w:right="19" w:firstLine="672" w:firstLineChars="200"/>
        <w:jc w:val="both"/>
        <w:rPr>
          <w:rFonts w:hint="eastAsia" w:ascii="仿宋_GB2312" w:hAnsi="仿宋_GB2312" w:eastAsia="仿宋_GB2312" w:cs="仿宋_GB2312"/>
          <w:b w:val="0"/>
          <w:bCs w:val="0"/>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发表中文或SCI论文≥1篇；</w:t>
      </w:r>
      <w:r>
        <w:rPr>
          <w:rFonts w:hint="eastAsia" w:ascii="仿宋_GB2312" w:hAnsi="仿宋_GB2312" w:eastAsia="仿宋_GB2312" w:cs="仿宋_GB2312"/>
          <w:b w:val="0"/>
          <w:bCs w:val="0"/>
          <w:spacing w:val="8"/>
          <w:sz w:val="32"/>
          <w:szCs w:val="32"/>
          <w:highlight w:val="none"/>
          <w:lang w:eastAsia="zh-CN"/>
        </w:rPr>
        <w:t>申请专利≥</w:t>
      </w:r>
      <w:r>
        <w:rPr>
          <w:rFonts w:hint="eastAsia" w:ascii="仿宋_GB2312" w:hAnsi="仿宋_GB2312" w:eastAsia="仿宋_GB2312" w:cs="仿宋_GB2312"/>
          <w:b w:val="0"/>
          <w:bCs w:val="0"/>
          <w:spacing w:val="8"/>
          <w:sz w:val="32"/>
          <w:szCs w:val="32"/>
          <w:highlight w:val="none"/>
          <w:lang w:val="en-US" w:eastAsia="zh-CN"/>
        </w:rPr>
        <w:t>1</w:t>
      </w:r>
      <w:r>
        <w:rPr>
          <w:rFonts w:hint="eastAsia" w:ascii="仿宋_GB2312" w:hAnsi="仿宋_GB2312" w:eastAsia="仿宋_GB2312" w:cs="仿宋_GB2312"/>
          <w:b w:val="0"/>
          <w:bCs w:val="0"/>
          <w:spacing w:val="8"/>
          <w:sz w:val="32"/>
          <w:szCs w:val="32"/>
          <w:highlight w:val="none"/>
          <w:lang w:eastAsia="zh-CN"/>
        </w:rPr>
        <w:t>项；</w:t>
      </w:r>
    </w:p>
    <w:p w14:paraId="28B2729B">
      <w:pPr>
        <w:pStyle w:val="3"/>
        <w:spacing w:before="47" w:line="560" w:lineRule="exact"/>
        <w:ind w:right="19" w:firstLine="672" w:firstLineChars="200"/>
        <w:jc w:val="both"/>
        <w:rPr>
          <w:rFonts w:hint="eastAsia" w:ascii="仿宋_GB2312" w:hAnsi="仿宋_GB2312" w:eastAsia="仿宋_GB2312" w:cs="仿宋_GB2312"/>
          <w:b w:val="0"/>
          <w:bCs w:val="0"/>
          <w:spacing w:val="8"/>
          <w:sz w:val="32"/>
          <w:szCs w:val="32"/>
          <w:highlight w:val="none"/>
          <w:lang w:eastAsia="zh-CN"/>
        </w:rPr>
      </w:pPr>
      <w:r>
        <w:rPr>
          <w:rFonts w:hint="eastAsia" w:ascii="仿宋_GB2312" w:hAnsi="仿宋_GB2312" w:eastAsia="仿宋_GB2312" w:cs="仿宋_GB2312"/>
          <w:b w:val="0"/>
          <w:bCs w:val="0"/>
          <w:spacing w:val="8"/>
          <w:sz w:val="32"/>
          <w:szCs w:val="32"/>
          <w:highlight w:val="none"/>
          <w:lang w:eastAsia="zh-CN"/>
        </w:rPr>
        <w:t>（二）技术指标：</w:t>
      </w:r>
    </w:p>
    <w:p w14:paraId="3F063F7F">
      <w:pPr>
        <w:pStyle w:val="3"/>
        <w:spacing w:before="47" w:line="560" w:lineRule="exact"/>
        <w:ind w:right="19" w:firstLine="672" w:firstLineChars="200"/>
        <w:jc w:val="both"/>
        <w:rPr>
          <w:rFonts w:hint="eastAsia" w:ascii="仿宋_GB2312" w:hAnsi="仿宋_GB2312" w:eastAsia="仿宋_GB2312" w:cs="仿宋_GB2312"/>
          <w:b w:val="0"/>
          <w:bCs w:val="0"/>
          <w:spacing w:val="8"/>
          <w:sz w:val="32"/>
          <w:szCs w:val="32"/>
          <w:highlight w:val="none"/>
          <w:lang w:eastAsia="zh-CN"/>
        </w:rPr>
      </w:pPr>
      <w:r>
        <w:rPr>
          <w:rFonts w:hint="eastAsia" w:ascii="仿宋_GB2312" w:hAnsi="仿宋_GB2312" w:eastAsia="仿宋_GB2312" w:cs="仿宋_GB2312"/>
          <w:b w:val="0"/>
          <w:bCs w:val="0"/>
          <w:spacing w:val="8"/>
          <w:sz w:val="32"/>
          <w:szCs w:val="32"/>
          <w:highlight w:val="none"/>
          <w:lang w:eastAsia="zh-CN"/>
        </w:rPr>
        <w:t>1.样本收集与分析：完成</w:t>
      </w:r>
      <w:r>
        <w:rPr>
          <w:rFonts w:hint="eastAsia" w:ascii="仿宋_GB2312" w:hAnsi="仿宋_GB2312" w:eastAsia="仿宋_GB2312" w:cs="仿宋_GB2312"/>
          <w:b w:val="0"/>
          <w:bCs w:val="0"/>
          <w:spacing w:val="8"/>
          <w:sz w:val="32"/>
          <w:szCs w:val="32"/>
          <w:highlight w:val="none"/>
          <w:lang w:val="en-US" w:eastAsia="zh-CN"/>
        </w:rPr>
        <w:t>50</w:t>
      </w:r>
      <w:r>
        <w:rPr>
          <w:rFonts w:hint="eastAsia" w:ascii="仿宋_GB2312" w:hAnsi="仿宋_GB2312" w:eastAsia="仿宋_GB2312" w:cs="仿宋_GB2312"/>
          <w:b w:val="0"/>
          <w:bCs w:val="0"/>
          <w:spacing w:val="8"/>
          <w:sz w:val="32"/>
          <w:szCs w:val="32"/>
          <w:highlight w:val="none"/>
          <w:lang w:eastAsia="zh-CN"/>
        </w:rPr>
        <w:t>例自闭症患儿及4</w:t>
      </w:r>
      <w:r>
        <w:rPr>
          <w:rFonts w:hint="eastAsia" w:ascii="仿宋_GB2312" w:hAnsi="仿宋_GB2312" w:eastAsia="仿宋_GB2312" w:cs="仿宋_GB2312"/>
          <w:b w:val="0"/>
          <w:bCs w:val="0"/>
          <w:spacing w:val="8"/>
          <w:sz w:val="32"/>
          <w:szCs w:val="32"/>
          <w:highlight w:val="none"/>
          <w:lang w:val="en-US" w:eastAsia="zh-CN"/>
        </w:rPr>
        <w:t>0</w:t>
      </w:r>
      <w:r>
        <w:rPr>
          <w:rFonts w:hint="eastAsia" w:ascii="仿宋_GB2312" w:hAnsi="仿宋_GB2312" w:eastAsia="仿宋_GB2312" w:cs="仿宋_GB2312"/>
          <w:b w:val="0"/>
          <w:bCs w:val="0"/>
          <w:spacing w:val="8"/>
          <w:sz w:val="32"/>
          <w:szCs w:val="32"/>
          <w:highlight w:val="none"/>
          <w:lang w:eastAsia="zh-CN"/>
        </w:rPr>
        <w:t>例健康对照的样本收集，明确</w:t>
      </w:r>
      <w:r>
        <w:rPr>
          <w:rFonts w:hint="eastAsia" w:ascii="仿宋_GB2312" w:hAnsi="仿宋_GB2312" w:eastAsia="仿宋_GB2312" w:cs="仿宋_GB2312"/>
          <w:b w:val="0"/>
          <w:bCs w:val="0"/>
          <w:spacing w:val="8"/>
          <w:sz w:val="32"/>
          <w:szCs w:val="32"/>
          <w:highlight w:val="none"/>
          <w:lang w:val="en-US" w:eastAsia="zh-CN"/>
        </w:rPr>
        <w:t>长链非编码 RNA（lncRNA）与微小RNA（miRNA）</w:t>
      </w:r>
      <w:r>
        <w:rPr>
          <w:rFonts w:hint="eastAsia" w:ascii="仿宋_GB2312" w:hAnsi="仿宋_GB2312" w:eastAsia="仿宋_GB2312" w:cs="仿宋_GB2312"/>
          <w:b w:val="0"/>
          <w:bCs w:val="0"/>
          <w:spacing w:val="8"/>
          <w:sz w:val="32"/>
          <w:szCs w:val="32"/>
          <w:highlight w:val="none"/>
          <w:lang w:eastAsia="zh-CN"/>
        </w:rPr>
        <w:t>的表达相关性及其与临床评分的关系，形成≥1份临床相关性分析报告；</w:t>
      </w:r>
    </w:p>
    <w:p w14:paraId="4F927295">
      <w:pPr>
        <w:pStyle w:val="3"/>
        <w:keepNext w:val="0"/>
        <w:keepLines w:val="0"/>
        <w:pageBreakBefore w:val="0"/>
        <w:widowControl w:val="0"/>
        <w:kinsoku/>
        <w:wordWrap/>
        <w:overflowPunct/>
        <w:topLinePunct w:val="0"/>
        <w:autoSpaceDE/>
        <w:autoSpaceDN/>
        <w:bidi w:val="0"/>
        <w:adjustRightInd/>
        <w:snapToGrid/>
        <w:spacing w:before="47" w:line="560" w:lineRule="exact"/>
        <w:ind w:right="19" w:firstLine="640" w:firstLineChars="200"/>
        <w:jc w:val="both"/>
        <w:textAlignment w:val="auto"/>
        <w:rPr>
          <w:rFonts w:hint="eastAsia" w:ascii="仿宋_GB2312" w:hAnsi="仿宋_GB2312" w:eastAsia="仿宋_GB2312" w:cs="仿宋_GB2312"/>
          <w:b w:val="0"/>
          <w:bCs w:val="0"/>
          <w:spacing w:val="8"/>
          <w:sz w:val="32"/>
          <w:szCs w:val="32"/>
          <w:highlight w:val="none"/>
          <w:lang w:eastAsia="zh-CN"/>
        </w:rPr>
      </w:pPr>
      <w:r>
        <w:rPr>
          <w:rFonts w:hint="eastAsia" w:ascii="仿宋_GB2312" w:hAnsi="仿宋_GB2312" w:eastAsia="仿宋_GB2312" w:cs="仿宋_GB2312"/>
          <w:b w:val="0"/>
          <w:bCs w:val="0"/>
          <w:color w:val="auto"/>
          <w:kern w:val="2"/>
          <w:sz w:val="32"/>
          <w:szCs w:val="32"/>
          <w:highlight w:val="none"/>
          <w:lang w:val="en-US" w:eastAsia="zh-CN" w:bidi="ar-SA"/>
        </w:rPr>
        <w:t>2.对以上体系进行性能验证及临床样本测试，并出具≥1份检测评估报告。</w:t>
      </w:r>
    </w:p>
    <w:p w14:paraId="31C851CC">
      <w:pPr>
        <w:pStyle w:val="3"/>
        <w:spacing w:before="47" w:line="560" w:lineRule="exact"/>
        <w:ind w:right="19"/>
        <w:jc w:val="both"/>
        <w:rPr>
          <w:rFonts w:hint="eastAsia" w:ascii="仿宋_GB2312" w:hAnsi="仿宋_GB2312" w:eastAsia="仿宋_GB2312" w:cs="仿宋_GB2312"/>
          <w:b w:val="0"/>
          <w:bCs w:val="0"/>
          <w:spacing w:val="8"/>
          <w:sz w:val="32"/>
          <w:szCs w:val="32"/>
          <w:highlight w:val="none"/>
          <w:lang w:eastAsia="zh-CN"/>
        </w:rPr>
      </w:pPr>
      <w:r>
        <w:rPr>
          <w:rFonts w:hint="eastAsia" w:ascii="黑体" w:hAnsi="黑体" w:eastAsia="黑体" w:cs="黑体"/>
          <w:b w:val="0"/>
          <w:bCs w:val="0"/>
          <w:spacing w:val="8"/>
          <w:sz w:val="32"/>
          <w:szCs w:val="32"/>
          <w:highlight w:val="none"/>
          <w:lang w:eastAsia="zh-CN"/>
        </w:rPr>
        <w:t>四、项目实施年限：</w:t>
      </w:r>
      <w:r>
        <w:rPr>
          <w:rFonts w:hint="eastAsia" w:ascii="仿宋_GB2312" w:hAnsi="仿宋_GB2312" w:eastAsia="仿宋_GB2312" w:cs="仿宋_GB2312"/>
          <w:b w:val="0"/>
          <w:bCs w:val="0"/>
          <w:spacing w:val="8"/>
          <w:sz w:val="32"/>
          <w:szCs w:val="32"/>
          <w:highlight w:val="none"/>
          <w:lang w:eastAsia="zh-CN"/>
        </w:rPr>
        <w:t>不超过2年</w:t>
      </w:r>
    </w:p>
    <w:p w14:paraId="025F5999">
      <w:pPr>
        <w:spacing w:before="91" w:line="560" w:lineRule="exact"/>
        <w:ind w:right="248"/>
        <w:jc w:val="both"/>
        <w:outlineLvl w:val="0"/>
        <w:rPr>
          <w:rFonts w:hint="eastAsia" w:ascii="仿宋_GB2312" w:hAnsi="仿宋_GB2312" w:eastAsia="仿宋_GB2312" w:cs="仿宋_GB2312"/>
          <w:bCs/>
          <w:spacing w:val="8"/>
          <w:sz w:val="32"/>
          <w:szCs w:val="32"/>
          <w:highlight w:val="none"/>
          <w:lang w:eastAsia="zh-CN"/>
        </w:rPr>
      </w:pPr>
      <w:r>
        <w:rPr>
          <w:rFonts w:hint="eastAsia" w:ascii="黑体" w:hAnsi="黑体" w:eastAsia="黑体" w:cs="黑体"/>
          <w:b w:val="0"/>
          <w:bCs w:val="0"/>
          <w:spacing w:val="8"/>
          <w:sz w:val="32"/>
          <w:szCs w:val="32"/>
          <w:highlight w:val="none"/>
          <w:lang w:eastAsia="zh-CN"/>
        </w:rPr>
        <w:t>五、资助金额：</w:t>
      </w:r>
      <w:r>
        <w:rPr>
          <w:rFonts w:hint="eastAsia" w:ascii="仿宋_GB2312" w:hAnsi="仿宋_GB2312" w:eastAsia="仿宋_GB2312" w:cs="仿宋_GB2312"/>
          <w:b w:val="0"/>
          <w:bCs w:val="0"/>
          <w:spacing w:val="8"/>
          <w:sz w:val="32"/>
          <w:szCs w:val="32"/>
          <w:highlight w:val="none"/>
          <w:lang w:eastAsia="zh-CN"/>
        </w:rPr>
        <w:t>不超过10万元</w:t>
      </w:r>
    </w:p>
    <w:p w14:paraId="7DF2910F">
      <w:pPr>
        <w:keepNext w:val="0"/>
        <w:keepLines w:val="0"/>
        <w:pageBreakBefore w:val="0"/>
        <w:widowControl w:val="0"/>
        <w:kinsoku/>
        <w:wordWrap/>
        <w:overflowPunct/>
        <w:topLinePunct w:val="0"/>
        <w:autoSpaceDE/>
        <w:autoSpaceDN/>
        <w:bidi w:val="0"/>
        <w:adjustRightInd/>
        <w:snapToGrid/>
        <w:spacing w:line="300" w:lineRule="auto"/>
        <w:jc w:val="both"/>
        <w:textAlignment w:val="auto"/>
        <w:rPr>
          <w:rFonts w:hint="eastAsia" w:ascii="黑体" w:hAnsi="黑体" w:eastAsia="黑体" w:cs="黑体"/>
          <w:b/>
          <w:bCs/>
          <w:spacing w:val="8"/>
          <w:sz w:val="32"/>
          <w:szCs w:val="32"/>
          <w:highlight w:val="none"/>
          <w:lang w:val="en-US" w:eastAsia="zh-CN"/>
        </w:rPr>
      </w:pPr>
    </w:p>
    <w:p w14:paraId="3CA7CE2E">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黑体" w:hAnsi="黑体" w:eastAsia="黑体" w:cs="黑体"/>
          <w:b/>
          <w:bCs/>
          <w:spacing w:val="8"/>
          <w:sz w:val="32"/>
          <w:szCs w:val="32"/>
          <w:highlight w:val="none"/>
          <w:lang w:val="en-US" w:eastAsia="zh-CN"/>
        </w:rPr>
      </w:pPr>
    </w:p>
    <w:p w14:paraId="3BE0AD2A">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黑体" w:hAnsi="黑体" w:eastAsia="黑体" w:cs="黑体"/>
          <w:b/>
          <w:bCs/>
          <w:spacing w:val="8"/>
          <w:sz w:val="32"/>
          <w:szCs w:val="32"/>
          <w:highlight w:val="none"/>
          <w:lang w:val="en-US" w:eastAsia="zh-CN"/>
        </w:rPr>
      </w:pPr>
    </w:p>
    <w:p w14:paraId="1E435FFF">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黑体" w:hAnsi="黑体" w:eastAsia="黑体" w:cs="黑体"/>
          <w:b/>
          <w:bCs/>
          <w:spacing w:val="8"/>
          <w:sz w:val="32"/>
          <w:szCs w:val="32"/>
          <w:highlight w:val="none"/>
          <w:lang w:val="en-US" w:eastAsia="zh-CN"/>
        </w:rPr>
      </w:pPr>
    </w:p>
    <w:p w14:paraId="14BC5BA8">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黑体" w:hAnsi="黑体" w:eastAsia="黑体" w:cs="黑体"/>
          <w:b/>
          <w:bCs/>
          <w:spacing w:val="8"/>
          <w:sz w:val="32"/>
          <w:szCs w:val="32"/>
          <w:highlight w:val="none"/>
          <w:lang w:val="en-US" w:eastAsia="zh-CN"/>
        </w:rPr>
      </w:pPr>
    </w:p>
    <w:p w14:paraId="628402E8">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黑体" w:hAnsi="黑体" w:eastAsia="黑体" w:cs="黑体"/>
          <w:b/>
          <w:bCs/>
          <w:spacing w:val="8"/>
          <w:sz w:val="32"/>
          <w:szCs w:val="32"/>
          <w:highlight w:val="none"/>
          <w:lang w:val="en-US" w:eastAsia="zh-CN"/>
        </w:rPr>
      </w:pPr>
    </w:p>
    <w:p w14:paraId="74DC7267">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黑体" w:hAnsi="黑体" w:eastAsia="黑体" w:cs="黑体"/>
          <w:b/>
          <w:bCs/>
          <w:spacing w:val="8"/>
          <w:sz w:val="32"/>
          <w:szCs w:val="32"/>
          <w:highlight w:val="none"/>
          <w:lang w:val="en-US" w:eastAsia="zh-CN"/>
        </w:rPr>
      </w:pPr>
    </w:p>
    <w:p w14:paraId="3EF36C77">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黑体" w:hAnsi="黑体" w:eastAsia="黑体" w:cs="黑体"/>
          <w:b/>
          <w:bCs/>
          <w:spacing w:val="8"/>
          <w:sz w:val="32"/>
          <w:szCs w:val="32"/>
          <w:highlight w:val="none"/>
          <w:lang w:val="en-US" w:eastAsia="zh-CN"/>
        </w:rPr>
      </w:pPr>
    </w:p>
    <w:p w14:paraId="2A4C1EDC">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黑体" w:hAnsi="黑体" w:eastAsia="黑体" w:cs="黑体"/>
          <w:b/>
          <w:bCs/>
          <w:spacing w:val="8"/>
          <w:sz w:val="32"/>
          <w:szCs w:val="32"/>
          <w:highlight w:val="none"/>
          <w:lang w:val="en-US" w:eastAsia="zh-CN"/>
        </w:rPr>
      </w:pPr>
    </w:p>
    <w:p w14:paraId="449E6831">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黑体" w:hAnsi="黑体" w:eastAsia="黑体" w:cs="黑体"/>
          <w:b/>
          <w:bCs/>
          <w:spacing w:val="8"/>
          <w:sz w:val="32"/>
          <w:szCs w:val="32"/>
          <w:highlight w:val="none"/>
          <w:lang w:val="en-US" w:eastAsia="zh-CN"/>
        </w:rPr>
      </w:pPr>
    </w:p>
    <w:p w14:paraId="557719B1">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黑体" w:hAnsi="黑体" w:eastAsia="黑体" w:cs="黑体"/>
          <w:b/>
          <w:bCs/>
          <w:spacing w:val="8"/>
          <w:sz w:val="32"/>
          <w:szCs w:val="32"/>
          <w:highlight w:val="none"/>
          <w:lang w:val="en-US" w:eastAsia="zh-CN"/>
        </w:rPr>
      </w:pPr>
    </w:p>
    <w:p w14:paraId="3538B233">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黑体" w:hAnsi="黑体" w:eastAsia="黑体" w:cs="黑体"/>
          <w:b/>
          <w:bCs/>
          <w:spacing w:val="8"/>
          <w:sz w:val="32"/>
          <w:szCs w:val="32"/>
          <w:highlight w:val="none"/>
          <w:lang w:val="en-US" w:eastAsia="zh-CN"/>
        </w:rPr>
      </w:pPr>
    </w:p>
    <w:p w14:paraId="35B806C5">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黑体" w:hAnsi="黑体" w:eastAsia="黑体" w:cs="黑体"/>
          <w:b/>
          <w:bCs/>
          <w:spacing w:val="8"/>
          <w:sz w:val="32"/>
          <w:szCs w:val="32"/>
          <w:highlight w:val="none"/>
          <w:lang w:val="en-US" w:eastAsia="zh-CN"/>
        </w:rPr>
      </w:pPr>
    </w:p>
    <w:p w14:paraId="273E4B3F">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黑体" w:hAnsi="黑体" w:eastAsia="黑体" w:cs="黑体"/>
          <w:b/>
          <w:bCs/>
          <w:spacing w:val="8"/>
          <w:sz w:val="32"/>
          <w:szCs w:val="32"/>
          <w:highlight w:val="none"/>
          <w:lang w:val="en-US" w:eastAsia="zh-CN"/>
        </w:rPr>
      </w:pPr>
    </w:p>
    <w:p w14:paraId="7785196E">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黑体" w:hAnsi="黑体" w:eastAsia="黑体" w:cs="黑体"/>
          <w:b/>
          <w:bCs/>
          <w:spacing w:val="8"/>
          <w:sz w:val="32"/>
          <w:szCs w:val="32"/>
          <w:highlight w:val="none"/>
          <w:lang w:val="en-US" w:eastAsia="zh-CN"/>
        </w:rPr>
      </w:pPr>
    </w:p>
    <w:p w14:paraId="2229767E">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黑体" w:hAnsi="黑体" w:eastAsia="黑体" w:cs="黑体"/>
          <w:b/>
          <w:bCs/>
          <w:spacing w:val="8"/>
          <w:sz w:val="32"/>
          <w:szCs w:val="32"/>
          <w:highlight w:val="none"/>
          <w:lang w:val="en-US" w:eastAsia="zh-CN"/>
        </w:rPr>
      </w:pPr>
    </w:p>
    <w:p w14:paraId="7F20BB45">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黑体" w:hAnsi="黑体" w:eastAsia="黑体" w:cs="黑体"/>
          <w:b/>
          <w:bCs/>
          <w:spacing w:val="8"/>
          <w:sz w:val="32"/>
          <w:szCs w:val="32"/>
          <w:highlight w:val="none"/>
          <w:lang w:val="en-US" w:eastAsia="zh-CN"/>
        </w:rPr>
      </w:pPr>
    </w:p>
    <w:p w14:paraId="49255CDB">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黑体" w:hAnsi="黑体" w:eastAsia="黑体" w:cs="黑体"/>
          <w:b/>
          <w:bCs/>
          <w:spacing w:val="8"/>
          <w:sz w:val="32"/>
          <w:szCs w:val="32"/>
          <w:highlight w:val="none"/>
          <w:lang w:val="en-US" w:eastAsia="zh-CN"/>
        </w:rPr>
      </w:pPr>
    </w:p>
    <w:p w14:paraId="13FFC5A9">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黑体" w:hAnsi="黑体" w:eastAsia="黑体" w:cs="黑体"/>
          <w:b/>
          <w:bCs/>
          <w:spacing w:val="8"/>
          <w:sz w:val="32"/>
          <w:szCs w:val="32"/>
          <w:highlight w:val="none"/>
          <w:lang w:val="en-US" w:eastAsia="zh-CN"/>
        </w:rPr>
      </w:pPr>
    </w:p>
    <w:p w14:paraId="63FBEF15">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黑体" w:hAnsi="黑体" w:eastAsia="黑体" w:cs="黑体"/>
          <w:b/>
          <w:bCs/>
          <w:spacing w:val="8"/>
          <w:sz w:val="32"/>
          <w:szCs w:val="32"/>
          <w:highlight w:val="none"/>
          <w:lang w:val="en-US" w:eastAsia="zh-CN"/>
        </w:rPr>
      </w:pPr>
    </w:p>
    <w:p w14:paraId="35E78994">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黑体" w:hAnsi="黑体" w:eastAsia="黑体" w:cs="黑体"/>
          <w:b/>
          <w:bCs/>
          <w:spacing w:val="8"/>
          <w:sz w:val="32"/>
          <w:szCs w:val="32"/>
          <w:highlight w:val="none"/>
          <w:lang w:val="en-US" w:eastAsia="zh-CN"/>
        </w:rPr>
      </w:pPr>
    </w:p>
    <w:p w14:paraId="4766293A">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黑体" w:hAnsi="黑体" w:eastAsia="黑体" w:cs="黑体"/>
          <w:b/>
          <w:bCs/>
          <w:spacing w:val="8"/>
          <w:sz w:val="32"/>
          <w:szCs w:val="32"/>
          <w:highlight w:val="none"/>
          <w:lang w:val="en-US" w:eastAsia="zh-CN"/>
        </w:rPr>
      </w:pPr>
    </w:p>
    <w:p w14:paraId="39427D6F">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黑体" w:hAnsi="黑体" w:eastAsia="黑体" w:cs="黑体"/>
          <w:b/>
          <w:bCs/>
          <w:spacing w:val="8"/>
          <w:sz w:val="32"/>
          <w:szCs w:val="32"/>
          <w:highlight w:val="none"/>
          <w:lang w:val="en-US" w:eastAsia="zh-CN"/>
        </w:rPr>
      </w:pPr>
    </w:p>
    <w:p w14:paraId="3AB3C31C">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黑体" w:hAnsi="黑体" w:eastAsia="黑体" w:cs="黑体"/>
          <w:b/>
          <w:bCs/>
          <w:sz w:val="32"/>
          <w:highlight w:val="none"/>
        </w:rPr>
      </w:pPr>
      <w:bookmarkStart w:id="0" w:name="_GoBack"/>
      <w:bookmarkEnd w:id="0"/>
      <w:r>
        <w:rPr>
          <w:rFonts w:hint="eastAsia" w:ascii="黑体" w:hAnsi="黑体" w:eastAsia="黑体" w:cs="黑体"/>
          <w:b/>
          <w:bCs/>
          <w:spacing w:val="8"/>
          <w:sz w:val="32"/>
          <w:szCs w:val="32"/>
          <w:highlight w:val="none"/>
          <w:lang w:val="en-US" w:eastAsia="zh-CN"/>
        </w:rPr>
        <w:t>面</w:t>
      </w:r>
      <w:r>
        <w:rPr>
          <w:rFonts w:hint="eastAsia" w:ascii="黑体" w:hAnsi="黑体" w:eastAsia="黑体" w:cs="黑体"/>
          <w:b/>
          <w:bCs/>
          <w:spacing w:val="8"/>
          <w:sz w:val="32"/>
          <w:szCs w:val="32"/>
          <w:highlight w:val="none"/>
          <w:lang w:eastAsia="zh-CN"/>
        </w:rPr>
        <w:t>2025</w:t>
      </w:r>
      <w:r>
        <w:rPr>
          <w:rFonts w:hint="eastAsia" w:ascii="黑体" w:hAnsi="黑体" w:eastAsia="黑体" w:cs="黑体"/>
          <w:b/>
          <w:bCs/>
          <w:spacing w:val="8"/>
          <w:sz w:val="32"/>
          <w:szCs w:val="32"/>
          <w:highlight w:val="none"/>
          <w:lang w:val="en-US" w:eastAsia="zh-CN"/>
        </w:rPr>
        <w:t xml:space="preserve">10013 </w:t>
      </w:r>
      <w:r>
        <w:rPr>
          <w:rFonts w:hint="eastAsia" w:ascii="黑体" w:hAnsi="黑体" w:eastAsia="黑体" w:cs="黑体"/>
          <w:b/>
          <w:bCs/>
          <w:sz w:val="32"/>
          <w:highlight w:val="none"/>
        </w:rPr>
        <w:t>肝素治疗中凝血酶生成潜能与常规监测指标差异的机制及临床意义研究</w:t>
      </w:r>
    </w:p>
    <w:p w14:paraId="2C2241A3">
      <w:pPr>
        <w:keepNext w:val="0"/>
        <w:keepLines w:val="0"/>
        <w:pageBreakBefore w:val="0"/>
        <w:widowControl w:val="0"/>
        <w:kinsoku/>
        <w:wordWrap/>
        <w:overflowPunct/>
        <w:topLinePunct w:val="0"/>
        <w:autoSpaceDE/>
        <w:autoSpaceDN/>
        <w:bidi w:val="0"/>
        <w:adjustRightInd/>
        <w:snapToGrid/>
        <w:spacing w:before="157" w:beforeLines="50" w:line="300" w:lineRule="auto"/>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rPr>
        <w:t>一、领域：</w:t>
      </w:r>
      <w:r>
        <w:rPr>
          <w:rFonts w:hint="eastAsia" w:ascii="仿宋_GB2312" w:hAnsi="仿宋_GB2312" w:eastAsia="仿宋_GB2312" w:cs="仿宋_GB2312"/>
          <w:sz w:val="32"/>
          <w:szCs w:val="32"/>
          <w:highlight w:val="none"/>
          <w:lang w:val="en-US" w:eastAsia="zh-CN"/>
        </w:rPr>
        <w:t>血栓止血</w:t>
      </w:r>
    </w:p>
    <w:p w14:paraId="276F7917">
      <w:pPr>
        <w:keepNext w:val="0"/>
        <w:keepLines w:val="0"/>
        <w:pageBreakBefore w:val="0"/>
        <w:widowControl w:val="0"/>
        <w:kinsoku/>
        <w:wordWrap/>
        <w:overflowPunct/>
        <w:topLinePunct w:val="0"/>
        <w:autoSpaceDE/>
        <w:autoSpaceDN/>
        <w:bidi w:val="0"/>
        <w:adjustRightInd/>
        <w:snapToGrid/>
        <w:spacing w:before="157" w:beforeLines="50" w:line="300" w:lineRule="auto"/>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二、主要研究内容</w:t>
      </w:r>
    </w:p>
    <w:p w14:paraId="5B1C260C">
      <w:pPr>
        <w:keepNext w:val="0"/>
        <w:keepLines w:val="0"/>
        <w:pageBreakBefore w:val="0"/>
        <w:widowControl w:val="0"/>
        <w:kinsoku/>
        <w:wordWrap/>
        <w:overflowPunct/>
        <w:topLinePunct w:val="0"/>
        <w:autoSpaceDE/>
        <w:autoSpaceDN/>
        <w:bidi w:val="0"/>
        <w:adjustRightInd/>
        <w:snapToGrid/>
        <w:spacing w:before="157" w:beforeLines="50" w:line="300" w:lineRule="auto"/>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本研究旨在系统阐明肝素治疗中凝血酶生成</w:t>
      </w:r>
      <w:r>
        <w:rPr>
          <w:rFonts w:hint="eastAsia" w:ascii="仿宋_GB2312" w:hAnsi="仿宋_GB2312" w:eastAsia="仿宋_GB2312" w:cs="仿宋_GB2312"/>
          <w:sz w:val="32"/>
          <w:szCs w:val="32"/>
          <w:highlight w:val="none"/>
          <w:lang w:val="en-US" w:eastAsia="zh-CN"/>
        </w:rPr>
        <w:t>试验（TGA）</w:t>
      </w:r>
      <w:r>
        <w:rPr>
          <w:rFonts w:hint="eastAsia" w:ascii="仿宋_GB2312" w:hAnsi="仿宋_GB2312" w:eastAsia="仿宋_GB2312" w:cs="仿宋_GB2312"/>
          <w:sz w:val="32"/>
          <w:szCs w:val="32"/>
          <w:highlight w:val="none"/>
        </w:rPr>
        <w:t>与常规监测指标的差异机制及临床价值。通过前瞻性队列研究，纳入接受不同肝素方案治疗的患者，通过同步检测其</w:t>
      </w:r>
      <w:r>
        <w:rPr>
          <w:rFonts w:hint="eastAsia" w:ascii="仿宋_GB2312" w:hAnsi="仿宋_GB2312" w:eastAsia="仿宋_GB2312" w:cs="仿宋_GB2312"/>
          <w:sz w:val="32"/>
          <w:szCs w:val="32"/>
          <w:highlight w:val="none"/>
          <w:lang w:val="en-US" w:eastAsia="zh-CN"/>
        </w:rPr>
        <w:t>TGA</w:t>
      </w:r>
      <w:r>
        <w:rPr>
          <w:rFonts w:hint="eastAsia" w:ascii="仿宋_GB2312" w:hAnsi="仿宋_GB2312" w:eastAsia="仿宋_GB2312" w:cs="仿宋_GB2312"/>
          <w:sz w:val="32"/>
          <w:szCs w:val="32"/>
          <w:highlight w:val="none"/>
        </w:rPr>
        <w:t>参数、抗Xa活性及APTT，进行多层次关联分析</w:t>
      </w:r>
      <w:r>
        <w:rPr>
          <w:rFonts w:hint="eastAsia" w:ascii="仿宋_GB2312" w:hAnsi="仿宋_GB2312" w:eastAsia="仿宋_GB2312" w:cs="仿宋_GB2312"/>
          <w:sz w:val="32"/>
          <w:szCs w:val="32"/>
          <w:highlight w:val="none"/>
          <w:lang w:eastAsia="zh-CN"/>
        </w:rPr>
        <w:t>，明确TGA与常规指标的相关性与差异规律；其次，重点解析在APTT受狼疮抗凝物、炎症等非肝素因素干扰时，TGA在评估真实抗凝效能方面的特异性与优势；</w:t>
      </w:r>
      <w:r>
        <w:rPr>
          <w:rFonts w:hint="eastAsia" w:ascii="仿宋_GB2312" w:hAnsi="仿宋_GB2312" w:eastAsia="仿宋_GB2312" w:cs="仿宋_GB2312"/>
          <w:sz w:val="32"/>
          <w:szCs w:val="32"/>
          <w:highlight w:val="none"/>
        </w:rPr>
        <w:t>最后，通过随访出血与血栓事件，评估TGA的独立预测价值，并构建一个整合全局功能、药物浓度</w:t>
      </w:r>
      <w:r>
        <w:rPr>
          <w:rFonts w:hint="eastAsia" w:ascii="仿宋_GB2312" w:hAnsi="仿宋_GB2312" w:eastAsia="仿宋_GB2312" w:cs="仿宋_GB2312"/>
          <w:sz w:val="32"/>
          <w:szCs w:val="32"/>
          <w:highlight w:val="none"/>
          <w:lang w:val="en-US" w:eastAsia="zh-CN"/>
        </w:rPr>
        <w:t>及</w:t>
      </w:r>
      <w:r>
        <w:rPr>
          <w:rFonts w:hint="eastAsia" w:ascii="仿宋_GB2312" w:hAnsi="仿宋_GB2312" w:eastAsia="仿宋_GB2312" w:cs="仿宋_GB2312"/>
          <w:sz w:val="32"/>
          <w:szCs w:val="32"/>
          <w:highlight w:val="none"/>
        </w:rPr>
        <w:t>凝血时间</w:t>
      </w:r>
      <w:r>
        <w:rPr>
          <w:rFonts w:hint="eastAsia" w:ascii="仿宋_GB2312" w:hAnsi="仿宋_GB2312" w:eastAsia="仿宋_GB2312" w:cs="仿宋_GB2312"/>
          <w:sz w:val="32"/>
          <w:szCs w:val="32"/>
          <w:highlight w:val="none"/>
          <w:lang w:val="en-US" w:eastAsia="zh-CN"/>
        </w:rPr>
        <w:t>等指标</w:t>
      </w:r>
      <w:r>
        <w:rPr>
          <w:rFonts w:hint="eastAsia" w:ascii="仿宋_GB2312" w:hAnsi="仿宋_GB2312" w:eastAsia="仿宋_GB2312" w:cs="仿宋_GB2312"/>
          <w:sz w:val="32"/>
          <w:szCs w:val="32"/>
          <w:highlight w:val="none"/>
        </w:rPr>
        <w:t>的多维风险预测模型，为肝素治疗的精准监测、风险预警和剂量调整提供循证依据。</w:t>
      </w:r>
    </w:p>
    <w:p w14:paraId="048AB6F1">
      <w:pPr>
        <w:keepNext w:val="0"/>
        <w:keepLines w:val="0"/>
        <w:pageBreakBefore w:val="0"/>
        <w:widowControl w:val="0"/>
        <w:kinsoku/>
        <w:wordWrap/>
        <w:overflowPunct/>
        <w:topLinePunct w:val="0"/>
        <w:autoSpaceDE/>
        <w:autoSpaceDN/>
        <w:bidi w:val="0"/>
        <w:adjustRightInd/>
        <w:snapToGrid/>
        <w:spacing w:before="157" w:beforeLines="50" w:line="300" w:lineRule="auto"/>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三、项目考核指标（项目执行期内）</w:t>
      </w:r>
    </w:p>
    <w:p w14:paraId="39795E9A">
      <w:pPr>
        <w:keepNext w:val="0"/>
        <w:keepLines w:val="0"/>
        <w:pageBreakBefore w:val="0"/>
        <w:widowControl w:val="0"/>
        <w:kinsoku/>
        <w:wordWrap/>
        <w:overflowPunct/>
        <w:topLinePunct w:val="0"/>
        <w:autoSpaceDE/>
        <w:autoSpaceDN/>
        <w:bidi w:val="0"/>
        <w:adjustRightInd/>
        <w:snapToGrid/>
        <w:spacing w:before="157" w:beforeLines="50" w:line="300" w:lineRule="auto"/>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（一）学术指标：</w:t>
      </w:r>
    </w:p>
    <w:p w14:paraId="40BC123C">
      <w:pPr>
        <w:keepNext w:val="0"/>
        <w:keepLines w:val="0"/>
        <w:pageBreakBefore w:val="0"/>
        <w:widowControl w:val="0"/>
        <w:kinsoku/>
        <w:wordWrap/>
        <w:overflowPunct/>
        <w:topLinePunct w:val="0"/>
        <w:autoSpaceDE/>
        <w:autoSpaceDN/>
        <w:bidi w:val="0"/>
        <w:adjustRightInd/>
        <w:snapToGrid/>
        <w:spacing w:before="157" w:beforeLines="50" w:line="300" w:lineRule="auto"/>
        <w:ind w:firstLine="672" w:firstLineChars="200"/>
        <w:textAlignment w:val="auto"/>
        <w:rPr>
          <w:rFonts w:hint="eastAsia"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发表中文或SCI论文≥1篇；</w:t>
      </w:r>
    </w:p>
    <w:p w14:paraId="597AC293">
      <w:pPr>
        <w:keepNext w:val="0"/>
        <w:keepLines w:val="0"/>
        <w:pageBreakBefore w:val="0"/>
        <w:widowControl w:val="0"/>
        <w:kinsoku/>
        <w:wordWrap/>
        <w:overflowPunct/>
        <w:topLinePunct w:val="0"/>
        <w:autoSpaceDE/>
        <w:autoSpaceDN/>
        <w:bidi w:val="0"/>
        <w:adjustRightInd/>
        <w:snapToGrid/>
        <w:spacing w:before="157" w:beforeLines="50" w:line="300" w:lineRule="auto"/>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（二）技术指标：</w:t>
      </w:r>
    </w:p>
    <w:p w14:paraId="0FBD3FF6">
      <w:pPr>
        <w:keepNext w:val="0"/>
        <w:keepLines w:val="0"/>
        <w:pageBreakBefore w:val="0"/>
        <w:widowControl w:val="0"/>
        <w:kinsoku/>
        <w:wordWrap/>
        <w:overflowPunct/>
        <w:topLinePunct w:val="0"/>
        <w:autoSpaceDE/>
        <w:autoSpaceDN/>
        <w:bidi w:val="0"/>
        <w:adjustRightInd/>
        <w:snapToGrid/>
        <w:spacing w:before="157" w:beforeLines="50" w:line="300" w:lineRule="auto"/>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基于以上研究内容</w:t>
      </w:r>
      <w:r>
        <w:rPr>
          <w:rFonts w:hint="eastAsia" w:ascii="仿宋_GB2312" w:hAnsi="仿宋_GB2312" w:eastAsia="仿宋_GB2312" w:cs="仿宋_GB2312"/>
          <w:sz w:val="32"/>
          <w:szCs w:val="32"/>
          <w:highlight w:val="none"/>
          <w:lang w:eastAsia="zh-CN"/>
        </w:rPr>
        <w:t>形成≥1份</w:t>
      </w:r>
      <w:r>
        <w:rPr>
          <w:rFonts w:hint="eastAsia" w:ascii="仿宋_GB2312" w:hAnsi="仿宋_GB2312" w:eastAsia="仿宋_GB2312" w:cs="仿宋_GB2312"/>
          <w:sz w:val="32"/>
          <w:szCs w:val="32"/>
          <w:highlight w:val="none"/>
          <w:lang w:val="en-US" w:eastAsia="zh-CN"/>
        </w:rPr>
        <w:t>项目</w:t>
      </w:r>
      <w:r>
        <w:rPr>
          <w:rFonts w:hint="eastAsia" w:ascii="仿宋_GB2312" w:hAnsi="仿宋_GB2312" w:eastAsia="仿宋_GB2312" w:cs="仿宋_GB2312"/>
          <w:sz w:val="32"/>
          <w:szCs w:val="32"/>
          <w:highlight w:val="none"/>
          <w:lang w:eastAsia="zh-CN"/>
        </w:rPr>
        <w:t>分析报告，</w:t>
      </w:r>
      <w:r>
        <w:rPr>
          <w:rFonts w:hint="eastAsia" w:ascii="仿宋_GB2312" w:hAnsi="仿宋_GB2312" w:eastAsia="仿宋_GB2312" w:cs="仿宋_GB2312"/>
          <w:sz w:val="32"/>
          <w:szCs w:val="32"/>
          <w:highlight w:val="none"/>
          <w:lang w:val="en-US" w:eastAsia="zh-CN"/>
        </w:rPr>
        <w:t>建立标准化的TGA检测操作规程，构建完整的前瞻性肝素抗凝治疗专病数据库，系统阐述TGA与常规监测指标之间的差异机制、在复杂临床情境下的应用优势及其对临床终点事件的预测效能，对建立的肝素抗凝治疗出血/血栓风险预测模型的效能进行评估。</w:t>
      </w:r>
    </w:p>
    <w:p w14:paraId="13335D55">
      <w:pPr>
        <w:keepNext w:val="0"/>
        <w:keepLines w:val="0"/>
        <w:pageBreakBefore w:val="0"/>
        <w:widowControl w:val="0"/>
        <w:kinsoku/>
        <w:wordWrap/>
        <w:overflowPunct/>
        <w:topLinePunct w:val="0"/>
        <w:autoSpaceDE/>
        <w:autoSpaceDN/>
        <w:bidi w:val="0"/>
        <w:adjustRightInd/>
        <w:snapToGrid/>
        <w:spacing w:before="157" w:beforeLines="50" w:line="300" w:lineRule="auto"/>
        <w:textAlignment w:val="auto"/>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rPr>
        <w:t>四、项目实施年限：</w:t>
      </w:r>
      <w:r>
        <w:rPr>
          <w:rFonts w:hint="eastAsia" w:ascii="仿宋_GB2312" w:hAnsi="仿宋_GB2312" w:eastAsia="仿宋_GB2312" w:cs="仿宋_GB2312"/>
          <w:sz w:val="32"/>
          <w:szCs w:val="32"/>
          <w:highlight w:val="none"/>
        </w:rPr>
        <w:t>不超过2年</w:t>
      </w:r>
    </w:p>
    <w:p w14:paraId="3C640FF1">
      <w:pPr>
        <w:keepNext w:val="0"/>
        <w:keepLines w:val="0"/>
        <w:pageBreakBefore w:val="0"/>
        <w:widowControl w:val="0"/>
        <w:kinsoku/>
        <w:wordWrap/>
        <w:overflowPunct/>
        <w:topLinePunct w:val="0"/>
        <w:autoSpaceDE/>
        <w:autoSpaceDN/>
        <w:bidi w:val="0"/>
        <w:adjustRightInd/>
        <w:snapToGrid/>
        <w:spacing w:before="157" w:beforeLines="50" w:line="300" w:lineRule="auto"/>
        <w:textAlignment w:val="auto"/>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rPr>
        <w:t>五、资助金额：</w:t>
      </w:r>
      <w:r>
        <w:rPr>
          <w:rFonts w:hint="eastAsia" w:ascii="仿宋_GB2312" w:hAnsi="仿宋_GB2312" w:eastAsia="仿宋_GB2312" w:cs="仿宋_GB2312"/>
          <w:sz w:val="32"/>
          <w:szCs w:val="32"/>
          <w:highlight w:val="none"/>
        </w:rPr>
        <w:t>不超过</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0万元</w:t>
      </w:r>
    </w:p>
    <w:p w14:paraId="4791AE46">
      <w:pPr>
        <w:pStyle w:val="3"/>
        <w:spacing w:before="47" w:line="560" w:lineRule="exact"/>
        <w:ind w:right="19"/>
        <w:jc w:val="center"/>
        <w:rPr>
          <w:rFonts w:hint="eastAsia" w:ascii="黑体" w:hAnsi="黑体" w:eastAsia="黑体" w:cs="黑体"/>
          <w:b/>
          <w:bCs/>
          <w:spacing w:val="8"/>
          <w:sz w:val="32"/>
          <w:szCs w:val="32"/>
          <w:highlight w:val="none"/>
          <w:lang w:eastAsia="zh-CN"/>
        </w:rPr>
      </w:pPr>
    </w:p>
    <w:p w14:paraId="08B9AABC">
      <w:pPr>
        <w:pStyle w:val="3"/>
        <w:spacing w:before="47" w:line="560" w:lineRule="exact"/>
        <w:ind w:right="19"/>
        <w:jc w:val="center"/>
        <w:rPr>
          <w:rFonts w:hint="eastAsia" w:ascii="黑体" w:hAnsi="黑体" w:eastAsia="黑体" w:cs="黑体"/>
          <w:b/>
          <w:bCs/>
          <w:spacing w:val="8"/>
          <w:sz w:val="32"/>
          <w:szCs w:val="32"/>
          <w:highlight w:val="none"/>
          <w:lang w:eastAsia="zh-CN"/>
        </w:rPr>
      </w:pPr>
    </w:p>
    <w:p w14:paraId="26D51857">
      <w:pPr>
        <w:pStyle w:val="3"/>
        <w:spacing w:before="47" w:line="560" w:lineRule="exact"/>
        <w:ind w:right="19"/>
        <w:jc w:val="center"/>
        <w:rPr>
          <w:rFonts w:hint="eastAsia" w:ascii="黑体" w:hAnsi="黑体" w:eastAsia="黑体" w:cs="黑体"/>
          <w:b/>
          <w:bCs/>
          <w:spacing w:val="8"/>
          <w:sz w:val="32"/>
          <w:szCs w:val="32"/>
          <w:highlight w:val="none"/>
          <w:lang w:eastAsia="zh-CN"/>
        </w:rPr>
      </w:pPr>
    </w:p>
    <w:p w14:paraId="01DD4715">
      <w:pPr>
        <w:pStyle w:val="3"/>
        <w:spacing w:before="47" w:line="560" w:lineRule="exact"/>
        <w:ind w:right="19"/>
        <w:jc w:val="center"/>
        <w:rPr>
          <w:rFonts w:hint="eastAsia" w:ascii="黑体" w:hAnsi="黑体" w:eastAsia="黑体" w:cs="黑体"/>
          <w:b/>
          <w:bCs/>
          <w:spacing w:val="8"/>
          <w:sz w:val="32"/>
          <w:szCs w:val="32"/>
          <w:highlight w:val="none"/>
          <w:lang w:eastAsia="zh-CN"/>
        </w:rPr>
      </w:pPr>
    </w:p>
    <w:p w14:paraId="2BDF6756">
      <w:pPr>
        <w:pStyle w:val="3"/>
        <w:spacing w:before="47" w:line="560" w:lineRule="exact"/>
        <w:ind w:right="19"/>
        <w:jc w:val="center"/>
        <w:rPr>
          <w:rFonts w:hint="eastAsia" w:ascii="黑体" w:hAnsi="黑体" w:eastAsia="黑体" w:cs="黑体"/>
          <w:b/>
          <w:bCs/>
          <w:spacing w:val="8"/>
          <w:sz w:val="32"/>
          <w:szCs w:val="32"/>
          <w:highlight w:val="none"/>
          <w:lang w:eastAsia="zh-CN"/>
        </w:rPr>
      </w:pPr>
    </w:p>
    <w:p w14:paraId="31A1B42F">
      <w:pPr>
        <w:pStyle w:val="3"/>
        <w:spacing w:before="47" w:line="560" w:lineRule="exact"/>
        <w:ind w:right="19"/>
        <w:jc w:val="center"/>
        <w:rPr>
          <w:rFonts w:hint="eastAsia" w:ascii="黑体" w:hAnsi="黑体" w:eastAsia="黑体" w:cs="黑体"/>
          <w:b/>
          <w:bCs/>
          <w:spacing w:val="8"/>
          <w:sz w:val="32"/>
          <w:szCs w:val="32"/>
          <w:highlight w:val="none"/>
          <w:lang w:eastAsia="zh-CN"/>
        </w:rPr>
      </w:pPr>
    </w:p>
    <w:p w14:paraId="2D9F7240">
      <w:pPr>
        <w:pStyle w:val="3"/>
        <w:spacing w:before="47" w:line="560" w:lineRule="exact"/>
        <w:ind w:right="19"/>
        <w:jc w:val="center"/>
        <w:rPr>
          <w:rFonts w:hint="eastAsia" w:ascii="黑体" w:hAnsi="黑体" w:eastAsia="黑体" w:cs="黑体"/>
          <w:b/>
          <w:bCs/>
          <w:spacing w:val="8"/>
          <w:sz w:val="32"/>
          <w:szCs w:val="32"/>
          <w:highlight w:val="none"/>
          <w:lang w:eastAsia="zh-CN"/>
        </w:rPr>
      </w:pPr>
    </w:p>
    <w:p w14:paraId="041E74A8">
      <w:pPr>
        <w:pStyle w:val="3"/>
        <w:spacing w:before="47" w:line="560" w:lineRule="exact"/>
        <w:ind w:right="19"/>
        <w:jc w:val="center"/>
        <w:rPr>
          <w:rFonts w:hint="eastAsia" w:ascii="黑体" w:hAnsi="黑体" w:eastAsia="黑体" w:cs="黑体"/>
          <w:b/>
          <w:bCs/>
          <w:spacing w:val="8"/>
          <w:sz w:val="32"/>
          <w:szCs w:val="32"/>
          <w:highlight w:val="none"/>
          <w:lang w:eastAsia="zh-CN"/>
        </w:rPr>
      </w:pPr>
    </w:p>
    <w:p w14:paraId="0931BE07">
      <w:pPr>
        <w:pStyle w:val="3"/>
        <w:spacing w:before="47" w:line="560" w:lineRule="exact"/>
        <w:ind w:right="19"/>
        <w:jc w:val="center"/>
        <w:rPr>
          <w:rFonts w:hint="eastAsia" w:ascii="黑体" w:hAnsi="黑体" w:eastAsia="黑体" w:cs="黑体"/>
          <w:b/>
          <w:bCs/>
          <w:spacing w:val="8"/>
          <w:sz w:val="32"/>
          <w:szCs w:val="32"/>
          <w:highlight w:val="none"/>
          <w:lang w:eastAsia="zh-CN"/>
        </w:rPr>
      </w:pPr>
    </w:p>
    <w:p w14:paraId="4E74482B">
      <w:pPr>
        <w:pStyle w:val="3"/>
        <w:spacing w:before="47" w:line="560" w:lineRule="exact"/>
        <w:ind w:right="19"/>
        <w:jc w:val="center"/>
        <w:rPr>
          <w:rFonts w:hint="eastAsia" w:ascii="黑体" w:hAnsi="黑体" w:eastAsia="黑体" w:cs="黑体"/>
          <w:b/>
          <w:bCs/>
          <w:spacing w:val="8"/>
          <w:sz w:val="32"/>
          <w:szCs w:val="32"/>
          <w:highlight w:val="none"/>
          <w:lang w:eastAsia="zh-CN"/>
        </w:rPr>
      </w:pPr>
    </w:p>
    <w:p w14:paraId="3A13FE12">
      <w:pPr>
        <w:pStyle w:val="3"/>
        <w:spacing w:before="47" w:line="560" w:lineRule="exact"/>
        <w:ind w:right="19"/>
        <w:jc w:val="center"/>
        <w:rPr>
          <w:rFonts w:hint="eastAsia" w:ascii="黑体" w:hAnsi="黑体" w:eastAsia="黑体" w:cs="黑体"/>
          <w:b/>
          <w:bCs/>
          <w:spacing w:val="8"/>
          <w:sz w:val="32"/>
          <w:szCs w:val="32"/>
          <w:highlight w:val="none"/>
          <w:lang w:eastAsia="zh-CN"/>
        </w:rPr>
      </w:pPr>
    </w:p>
    <w:p w14:paraId="0AF05508">
      <w:pPr>
        <w:pStyle w:val="3"/>
        <w:spacing w:before="47" w:line="560" w:lineRule="exact"/>
        <w:ind w:right="19"/>
        <w:jc w:val="center"/>
        <w:rPr>
          <w:rFonts w:hint="eastAsia" w:ascii="黑体" w:hAnsi="黑体" w:eastAsia="黑体" w:cs="黑体"/>
          <w:b/>
          <w:bCs/>
          <w:spacing w:val="8"/>
          <w:sz w:val="32"/>
          <w:szCs w:val="32"/>
          <w:highlight w:val="none"/>
          <w:lang w:eastAsia="zh-CN"/>
        </w:rPr>
      </w:pPr>
    </w:p>
    <w:p w14:paraId="370EE78D">
      <w:pPr>
        <w:pStyle w:val="3"/>
        <w:spacing w:before="47" w:line="560" w:lineRule="exact"/>
        <w:ind w:right="19"/>
        <w:jc w:val="center"/>
        <w:rPr>
          <w:rFonts w:hint="eastAsia" w:ascii="黑体" w:hAnsi="黑体" w:eastAsia="黑体" w:cs="黑体"/>
          <w:b/>
          <w:bCs/>
          <w:spacing w:val="8"/>
          <w:sz w:val="32"/>
          <w:szCs w:val="32"/>
          <w:highlight w:val="none"/>
          <w:lang w:eastAsia="zh-CN"/>
        </w:rPr>
      </w:pPr>
    </w:p>
    <w:p w14:paraId="5D01DBAF">
      <w:pPr>
        <w:pStyle w:val="3"/>
        <w:spacing w:before="47" w:line="560" w:lineRule="exact"/>
        <w:ind w:right="19"/>
        <w:jc w:val="center"/>
        <w:rPr>
          <w:rFonts w:hint="eastAsia" w:ascii="黑体" w:hAnsi="黑体" w:eastAsia="黑体" w:cs="黑体"/>
          <w:b/>
          <w:bCs/>
          <w:spacing w:val="8"/>
          <w:sz w:val="32"/>
          <w:szCs w:val="32"/>
          <w:highlight w:val="none"/>
          <w:lang w:eastAsia="zh-CN"/>
        </w:rPr>
      </w:pPr>
    </w:p>
    <w:p w14:paraId="0519B599">
      <w:pPr>
        <w:pStyle w:val="3"/>
        <w:spacing w:before="47" w:line="560" w:lineRule="exact"/>
        <w:ind w:right="19"/>
        <w:jc w:val="center"/>
        <w:rPr>
          <w:rFonts w:hint="eastAsia" w:ascii="黑体" w:hAnsi="黑体" w:eastAsia="黑体" w:cs="黑体"/>
          <w:b/>
          <w:bCs/>
          <w:spacing w:val="8"/>
          <w:sz w:val="32"/>
          <w:szCs w:val="32"/>
          <w:highlight w:val="none"/>
          <w:lang w:val="en-US" w:eastAsia="zh-CN"/>
        </w:rPr>
      </w:pPr>
    </w:p>
    <w:p w14:paraId="078EF2A1">
      <w:pPr>
        <w:pStyle w:val="3"/>
        <w:spacing w:before="47" w:line="560" w:lineRule="exact"/>
        <w:ind w:right="19"/>
        <w:jc w:val="center"/>
        <w:rPr>
          <w:rFonts w:hint="eastAsia" w:ascii="黑体" w:hAnsi="黑体" w:eastAsia="黑体" w:cs="黑体"/>
          <w:b/>
          <w:bCs/>
          <w:spacing w:val="8"/>
          <w:sz w:val="32"/>
          <w:szCs w:val="32"/>
          <w:highlight w:val="none"/>
          <w:lang w:val="en-US" w:eastAsia="zh-CN"/>
        </w:rPr>
      </w:pPr>
    </w:p>
    <w:p w14:paraId="728B19C9">
      <w:pPr>
        <w:pStyle w:val="3"/>
        <w:spacing w:before="47" w:line="560" w:lineRule="exact"/>
        <w:ind w:right="19"/>
        <w:jc w:val="center"/>
        <w:rPr>
          <w:rFonts w:hint="eastAsia" w:ascii="黑体" w:hAnsi="黑体" w:eastAsia="黑体" w:cs="黑体"/>
          <w:b/>
          <w:bCs/>
          <w:spacing w:val="8"/>
          <w:sz w:val="32"/>
          <w:szCs w:val="32"/>
          <w:highlight w:val="none"/>
          <w:lang w:val="en-US" w:eastAsia="zh-CN"/>
        </w:rPr>
      </w:pPr>
    </w:p>
    <w:p w14:paraId="090E5A38">
      <w:pPr>
        <w:pStyle w:val="3"/>
        <w:spacing w:before="47" w:line="560" w:lineRule="exact"/>
        <w:ind w:right="19"/>
        <w:jc w:val="center"/>
        <w:rPr>
          <w:rFonts w:hint="eastAsia" w:ascii="黑体" w:hAnsi="黑体" w:eastAsia="黑体" w:cs="黑体"/>
          <w:b/>
          <w:bCs/>
          <w:spacing w:val="8"/>
          <w:sz w:val="32"/>
          <w:szCs w:val="32"/>
          <w:highlight w:val="none"/>
          <w:lang w:val="en-US" w:eastAsia="zh-CN"/>
        </w:rPr>
      </w:pPr>
    </w:p>
    <w:p w14:paraId="2AAA29CB">
      <w:pPr>
        <w:pStyle w:val="3"/>
        <w:spacing w:before="47" w:line="560" w:lineRule="exact"/>
        <w:ind w:right="19"/>
        <w:jc w:val="center"/>
        <w:rPr>
          <w:rFonts w:hint="eastAsia" w:ascii="仿宋_GB2312" w:hAnsi="仿宋_GB2312" w:eastAsia="仿宋_GB2312" w:cs="仿宋_GB2312"/>
          <w:b/>
          <w:bCs/>
          <w:spacing w:val="8"/>
          <w:sz w:val="32"/>
          <w:szCs w:val="32"/>
          <w:highlight w:val="none"/>
          <w:lang w:eastAsia="zh-CN"/>
        </w:rPr>
      </w:pPr>
      <w:r>
        <w:rPr>
          <w:rFonts w:hint="eastAsia" w:ascii="黑体" w:hAnsi="黑体" w:eastAsia="黑体" w:cs="黑体"/>
          <w:b/>
          <w:bCs/>
          <w:spacing w:val="8"/>
          <w:sz w:val="32"/>
          <w:szCs w:val="32"/>
          <w:highlight w:val="none"/>
          <w:lang w:val="en-US" w:eastAsia="zh-CN"/>
        </w:rPr>
        <w:t>面</w:t>
      </w:r>
      <w:r>
        <w:rPr>
          <w:rFonts w:hint="eastAsia" w:ascii="黑体" w:hAnsi="黑体" w:eastAsia="黑体" w:cs="黑体"/>
          <w:b/>
          <w:bCs/>
          <w:spacing w:val="8"/>
          <w:sz w:val="32"/>
          <w:szCs w:val="32"/>
          <w:highlight w:val="none"/>
          <w:lang w:eastAsia="zh-CN"/>
        </w:rPr>
        <w:t>2025</w:t>
      </w:r>
      <w:r>
        <w:rPr>
          <w:rFonts w:hint="eastAsia" w:ascii="黑体" w:hAnsi="黑体" w:eastAsia="黑体" w:cs="黑体"/>
          <w:b/>
          <w:bCs/>
          <w:spacing w:val="8"/>
          <w:sz w:val="32"/>
          <w:szCs w:val="32"/>
          <w:highlight w:val="none"/>
          <w:lang w:val="en-US" w:eastAsia="zh-CN"/>
        </w:rPr>
        <w:t xml:space="preserve">10014 </w:t>
      </w:r>
      <w:r>
        <w:rPr>
          <w:rFonts w:hint="eastAsia" w:ascii="黑体" w:hAnsi="黑体" w:eastAsia="黑体" w:cs="黑体"/>
          <w:b/>
          <w:bCs/>
          <w:spacing w:val="8"/>
          <w:sz w:val="32"/>
          <w:szCs w:val="32"/>
          <w:highlight w:val="none"/>
          <w:lang w:eastAsia="zh-CN"/>
        </w:rPr>
        <w:t>挥发性有机化合物相关基因与脑卒中风险的多组学研究</w:t>
      </w:r>
    </w:p>
    <w:p w14:paraId="387B040C">
      <w:pPr>
        <w:spacing w:before="91" w:line="560" w:lineRule="exact"/>
        <w:ind w:right="248"/>
        <w:jc w:val="both"/>
        <w:outlineLvl w:val="0"/>
        <w:rPr>
          <w:rFonts w:hint="eastAsia" w:ascii="仿宋_GB2312" w:hAnsi="仿宋_GB2312" w:eastAsia="仿宋_GB2312" w:cs="仿宋_GB2312"/>
          <w:bCs/>
          <w:spacing w:val="8"/>
          <w:sz w:val="32"/>
          <w:szCs w:val="32"/>
          <w:highlight w:val="none"/>
          <w:lang w:eastAsia="zh-CN"/>
        </w:rPr>
      </w:pPr>
      <w:r>
        <w:rPr>
          <w:rFonts w:hint="eastAsia" w:ascii="黑体" w:hAnsi="黑体" w:eastAsia="黑体" w:cs="黑体"/>
          <w:b w:val="0"/>
          <w:bCs w:val="0"/>
          <w:spacing w:val="8"/>
          <w:sz w:val="32"/>
          <w:szCs w:val="32"/>
          <w:highlight w:val="none"/>
          <w:lang w:eastAsia="zh-CN"/>
        </w:rPr>
        <w:t>一、领域：</w:t>
      </w:r>
      <w:r>
        <w:rPr>
          <w:rFonts w:hint="eastAsia" w:ascii="仿宋_GB2312" w:hAnsi="仿宋_GB2312" w:eastAsia="仿宋_GB2312" w:cs="仿宋_GB2312"/>
          <w:bCs/>
          <w:spacing w:val="8"/>
          <w:sz w:val="32"/>
          <w:szCs w:val="32"/>
          <w:highlight w:val="none"/>
          <w:lang w:eastAsia="zh-CN"/>
        </w:rPr>
        <w:t>环境健康与神经疾病精准防控</w:t>
      </w:r>
    </w:p>
    <w:p w14:paraId="7456776D">
      <w:pPr>
        <w:spacing w:before="91" w:line="560" w:lineRule="exact"/>
        <w:ind w:right="248"/>
        <w:jc w:val="both"/>
        <w:outlineLvl w:val="0"/>
        <w:rPr>
          <w:rFonts w:hint="eastAsia" w:ascii="黑体" w:hAnsi="黑体" w:eastAsia="黑体" w:cs="黑体"/>
          <w:b w:val="0"/>
          <w:bCs w:val="0"/>
          <w:spacing w:val="8"/>
          <w:sz w:val="32"/>
          <w:szCs w:val="32"/>
          <w:highlight w:val="none"/>
          <w:lang w:eastAsia="zh-CN"/>
        </w:rPr>
      </w:pPr>
      <w:r>
        <w:rPr>
          <w:rFonts w:hint="eastAsia" w:ascii="黑体" w:hAnsi="黑体" w:eastAsia="黑体" w:cs="黑体"/>
          <w:b w:val="0"/>
          <w:bCs w:val="0"/>
          <w:spacing w:val="8"/>
          <w:sz w:val="32"/>
          <w:szCs w:val="32"/>
          <w:highlight w:val="none"/>
          <w:lang w:eastAsia="zh-CN"/>
        </w:rPr>
        <w:t>二、主要研究内容</w:t>
      </w:r>
    </w:p>
    <w:p w14:paraId="60BC4D18">
      <w:pPr>
        <w:spacing w:before="91" w:line="560" w:lineRule="exact"/>
        <w:ind w:right="248" w:firstLine="672" w:firstLineChars="200"/>
        <w:jc w:val="both"/>
        <w:outlineLvl w:val="0"/>
        <w:rPr>
          <w:rFonts w:hint="eastAsia" w:ascii="仿宋_GB2312" w:hAnsi="仿宋_GB2312" w:eastAsia="仿宋_GB2312" w:cs="仿宋_GB2312"/>
          <w:bCs/>
          <w:spacing w:val="8"/>
          <w:sz w:val="32"/>
          <w:szCs w:val="32"/>
          <w:highlight w:val="none"/>
          <w:lang w:eastAsia="zh-CN"/>
        </w:rPr>
      </w:pPr>
      <w:r>
        <w:rPr>
          <w:rFonts w:hint="eastAsia" w:ascii="仿宋_GB2312" w:hAnsi="仿宋_GB2312" w:eastAsia="仿宋_GB2312" w:cs="仿宋_GB2312"/>
          <w:bCs/>
          <w:spacing w:val="8"/>
          <w:sz w:val="32"/>
          <w:szCs w:val="32"/>
          <w:highlight w:val="none"/>
          <w:lang w:eastAsia="zh-CN"/>
        </w:rPr>
        <w:t>项目聚焦“挥发性有机化合物（VOCs）暴露与脑卒中风险机制研究”，旨在系统揭示环境污染物暴露对脑卒中发生、进展及预后的影响规律，探索环境因素与神经疾病之间的内在联系。研究将依托国内外人群数据库与临床样本数据，分析VOCs代谢物水平与脑卒中发病风险的关联特征，并挖掘其潜在的生物标志物与关键调控通路。项目计划利用多组学分析和人工智能建模方法，构建环境暴露与脑卒中之间的预测模型，评估不同暴露水平下个体的疾病易感性及预后差异。研究成果将为脑卒中的早期风险识别、精准预防和环境健康干预提供数据支撑与科学依据，推动环境暴露与脑血管疾病交叉领域的应用转化与科技创新。</w:t>
      </w:r>
    </w:p>
    <w:p w14:paraId="4A78C150">
      <w:pPr>
        <w:spacing w:before="91" w:line="560" w:lineRule="exact"/>
        <w:ind w:right="248"/>
        <w:jc w:val="both"/>
        <w:outlineLvl w:val="0"/>
        <w:rPr>
          <w:rFonts w:hint="eastAsia" w:ascii="黑体" w:hAnsi="黑体" w:eastAsia="黑体" w:cs="黑体"/>
          <w:b w:val="0"/>
          <w:bCs w:val="0"/>
          <w:spacing w:val="8"/>
          <w:sz w:val="32"/>
          <w:szCs w:val="32"/>
          <w:highlight w:val="none"/>
          <w:lang w:eastAsia="zh-CN"/>
        </w:rPr>
      </w:pPr>
      <w:r>
        <w:rPr>
          <w:rFonts w:hint="eastAsia" w:ascii="黑体" w:hAnsi="黑体" w:eastAsia="黑体" w:cs="黑体"/>
          <w:b w:val="0"/>
          <w:bCs w:val="0"/>
          <w:spacing w:val="8"/>
          <w:sz w:val="32"/>
          <w:szCs w:val="32"/>
          <w:highlight w:val="none"/>
          <w:lang w:eastAsia="zh-CN"/>
        </w:rPr>
        <w:t>三、项目考核指标（项目执行期内）</w:t>
      </w:r>
    </w:p>
    <w:p w14:paraId="6AA7782A">
      <w:pPr>
        <w:spacing w:before="91" w:line="560" w:lineRule="exact"/>
        <w:ind w:right="248" w:firstLine="672" w:firstLineChars="200"/>
        <w:jc w:val="both"/>
        <w:outlineLvl w:val="0"/>
        <w:rPr>
          <w:rFonts w:hint="eastAsia" w:ascii="仿宋_GB2312" w:hAnsi="仿宋_GB2312" w:eastAsia="仿宋_GB2312" w:cs="仿宋_GB2312"/>
          <w:bCs/>
          <w:spacing w:val="8"/>
          <w:sz w:val="32"/>
          <w:szCs w:val="32"/>
          <w:highlight w:val="none"/>
          <w:lang w:eastAsia="zh-CN"/>
        </w:rPr>
      </w:pPr>
      <w:r>
        <w:rPr>
          <w:rFonts w:hint="eastAsia" w:ascii="仿宋_GB2312" w:hAnsi="仿宋_GB2312" w:eastAsia="仿宋_GB2312" w:cs="仿宋_GB2312"/>
          <w:bCs/>
          <w:spacing w:val="8"/>
          <w:sz w:val="32"/>
          <w:szCs w:val="32"/>
          <w:highlight w:val="none"/>
          <w:lang w:eastAsia="zh-CN"/>
        </w:rPr>
        <w:t xml:space="preserve">（1）学术指标： </w:t>
      </w:r>
    </w:p>
    <w:p w14:paraId="01427AF6">
      <w:pPr>
        <w:spacing w:before="91" w:line="560" w:lineRule="exact"/>
        <w:ind w:right="248" w:firstLine="672" w:firstLineChars="200"/>
        <w:jc w:val="both"/>
        <w:outlineLvl w:val="0"/>
        <w:rPr>
          <w:rFonts w:hint="eastAsia"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val="en-US" w:eastAsia="zh-CN"/>
        </w:rPr>
        <w:t>发</w:t>
      </w:r>
      <w:r>
        <w:rPr>
          <w:rFonts w:hint="eastAsia" w:ascii="仿宋_GB2312" w:hAnsi="仿宋_GB2312" w:eastAsia="仿宋_GB2312" w:cs="仿宋_GB2312"/>
          <w:spacing w:val="8"/>
          <w:sz w:val="32"/>
          <w:szCs w:val="32"/>
          <w:highlight w:val="none"/>
          <w:lang w:eastAsia="zh-CN"/>
        </w:rPr>
        <w:t>表中文或SCI论文≥1篇；</w:t>
      </w:r>
    </w:p>
    <w:p w14:paraId="0B91161B">
      <w:pPr>
        <w:spacing w:before="91" w:line="560" w:lineRule="exact"/>
        <w:ind w:right="248" w:firstLine="672" w:firstLineChars="200"/>
        <w:jc w:val="both"/>
        <w:outlineLvl w:val="0"/>
        <w:rPr>
          <w:rFonts w:hint="eastAsia" w:ascii="仿宋_GB2312" w:hAnsi="仿宋_GB2312" w:eastAsia="仿宋_GB2312" w:cs="仿宋_GB2312"/>
          <w:bCs/>
          <w:spacing w:val="8"/>
          <w:sz w:val="32"/>
          <w:szCs w:val="32"/>
          <w:highlight w:val="none"/>
          <w:lang w:eastAsia="zh-CN"/>
        </w:rPr>
      </w:pPr>
      <w:r>
        <w:rPr>
          <w:rFonts w:hint="eastAsia" w:ascii="仿宋_GB2312" w:hAnsi="仿宋_GB2312" w:eastAsia="仿宋_GB2312" w:cs="仿宋_GB2312"/>
          <w:bCs/>
          <w:spacing w:val="8"/>
          <w:sz w:val="32"/>
          <w:szCs w:val="32"/>
          <w:highlight w:val="none"/>
          <w:lang w:eastAsia="zh-CN"/>
        </w:rPr>
        <w:t>（2）技术指标：建立标准化的VOCs暴露评估与检测流程，构建完整的人群VOCs代谢物与脑卒中风险关联数据库。系统阐明VOCs暴露与脑卒中发病、预后之间的分子关联规律，揭示其在神经炎症、氧化应激及血管损伤等环节的作用特征。建立基于多组学特征的脑卒中早期风险预测模型，并对模型的区分度、校准度及临床应用效能进行系统评估，为环境暴露相关脑卒中防控提供技术支撑和数据依据</w:t>
      </w:r>
      <w:r>
        <w:rPr>
          <w:rFonts w:hint="eastAsia" w:ascii="仿宋_GB2312" w:hAnsi="仿宋_GB2312" w:eastAsia="仿宋_GB2312" w:cs="仿宋_GB2312"/>
          <w:bCs/>
          <w:spacing w:val="8"/>
          <w:sz w:val="32"/>
          <w:szCs w:val="32"/>
          <w:highlight w:val="none"/>
          <w:lang w:val="en-US" w:eastAsia="zh-CN"/>
        </w:rPr>
        <w:t>并</w:t>
      </w:r>
      <w:r>
        <w:rPr>
          <w:rFonts w:hint="eastAsia" w:ascii="仿宋_GB2312" w:hAnsi="仿宋_GB2312" w:eastAsia="仿宋_GB2312" w:cs="仿宋_GB2312"/>
          <w:bCs/>
          <w:spacing w:val="8"/>
          <w:sz w:val="32"/>
          <w:szCs w:val="32"/>
          <w:highlight w:val="none"/>
          <w:lang w:eastAsia="zh-CN"/>
        </w:rPr>
        <w:t>形成≥1份项目分析报告。</w:t>
      </w:r>
    </w:p>
    <w:p w14:paraId="41B98658">
      <w:pPr>
        <w:spacing w:before="91" w:line="560" w:lineRule="exact"/>
        <w:ind w:right="248"/>
        <w:jc w:val="both"/>
        <w:outlineLvl w:val="0"/>
        <w:rPr>
          <w:rFonts w:hint="eastAsia" w:ascii="仿宋_GB2312" w:hAnsi="仿宋_GB2312" w:eastAsia="仿宋_GB2312" w:cs="仿宋_GB2312"/>
          <w:bCs/>
          <w:spacing w:val="8"/>
          <w:sz w:val="32"/>
          <w:szCs w:val="32"/>
          <w:highlight w:val="none"/>
          <w:lang w:eastAsia="zh-CN"/>
        </w:rPr>
      </w:pPr>
      <w:r>
        <w:rPr>
          <w:rFonts w:hint="eastAsia" w:ascii="黑体" w:hAnsi="黑体" w:eastAsia="黑体" w:cs="黑体"/>
          <w:b w:val="0"/>
          <w:bCs w:val="0"/>
          <w:spacing w:val="8"/>
          <w:sz w:val="32"/>
          <w:szCs w:val="32"/>
          <w:highlight w:val="none"/>
          <w:lang w:eastAsia="zh-CN"/>
        </w:rPr>
        <w:t>四、项目实施年限：</w:t>
      </w:r>
      <w:r>
        <w:rPr>
          <w:rFonts w:hint="eastAsia" w:ascii="仿宋_GB2312" w:hAnsi="仿宋_GB2312" w:eastAsia="仿宋_GB2312" w:cs="仿宋_GB2312"/>
          <w:bCs/>
          <w:spacing w:val="8"/>
          <w:sz w:val="32"/>
          <w:szCs w:val="32"/>
          <w:highlight w:val="none"/>
          <w:lang w:eastAsia="zh-CN"/>
        </w:rPr>
        <w:t>不超过2年</w:t>
      </w:r>
    </w:p>
    <w:p w14:paraId="42EFC58C">
      <w:pPr>
        <w:spacing w:before="91" w:line="560" w:lineRule="exact"/>
        <w:ind w:right="248"/>
        <w:jc w:val="both"/>
        <w:outlineLvl w:val="0"/>
        <w:rPr>
          <w:highlight w:val="none"/>
        </w:rPr>
      </w:pPr>
      <w:r>
        <w:rPr>
          <w:rFonts w:hint="eastAsia" w:ascii="黑体" w:hAnsi="黑体" w:eastAsia="黑体" w:cs="黑体"/>
          <w:b w:val="0"/>
          <w:bCs w:val="0"/>
          <w:spacing w:val="8"/>
          <w:sz w:val="32"/>
          <w:szCs w:val="32"/>
          <w:highlight w:val="none"/>
          <w:lang w:eastAsia="zh-CN"/>
        </w:rPr>
        <w:t>五、资助金额：</w:t>
      </w:r>
      <w:r>
        <w:rPr>
          <w:rFonts w:hint="eastAsia" w:ascii="仿宋_GB2312" w:hAnsi="仿宋_GB2312" w:eastAsia="仿宋_GB2312" w:cs="仿宋_GB2312"/>
          <w:bCs/>
          <w:spacing w:val="8"/>
          <w:sz w:val="32"/>
          <w:szCs w:val="32"/>
          <w:highlight w:val="none"/>
          <w:lang w:eastAsia="zh-CN"/>
        </w:rPr>
        <w:t>不超过</w:t>
      </w:r>
      <w:r>
        <w:rPr>
          <w:rFonts w:hint="eastAsia" w:ascii="仿宋_GB2312" w:hAnsi="仿宋_GB2312" w:eastAsia="仿宋_GB2312" w:cs="仿宋_GB2312"/>
          <w:bCs/>
          <w:spacing w:val="8"/>
          <w:sz w:val="32"/>
          <w:szCs w:val="32"/>
          <w:highlight w:val="none"/>
          <w:lang w:val="en-US" w:eastAsia="zh-CN"/>
        </w:rPr>
        <w:t>5</w:t>
      </w:r>
      <w:r>
        <w:rPr>
          <w:rFonts w:hint="eastAsia" w:ascii="仿宋_GB2312" w:hAnsi="仿宋_GB2312" w:eastAsia="仿宋_GB2312" w:cs="仿宋_GB2312"/>
          <w:bCs/>
          <w:spacing w:val="8"/>
          <w:sz w:val="32"/>
          <w:szCs w:val="32"/>
          <w:highlight w:val="none"/>
          <w:lang w:eastAsia="zh-CN"/>
        </w:rPr>
        <w:t>万元</w:t>
      </w:r>
    </w:p>
    <w:p w14:paraId="1163B50E">
      <w:pPr>
        <w:pStyle w:val="3"/>
        <w:spacing w:before="47" w:line="560" w:lineRule="exact"/>
        <w:ind w:right="19"/>
        <w:jc w:val="center"/>
        <w:rPr>
          <w:rFonts w:hint="eastAsia" w:ascii="黑体" w:hAnsi="黑体" w:eastAsia="黑体" w:cs="黑体"/>
          <w:b/>
          <w:bCs/>
          <w:spacing w:val="8"/>
          <w:sz w:val="32"/>
          <w:szCs w:val="32"/>
          <w:highlight w:val="none"/>
          <w:lang w:eastAsia="zh-CN"/>
        </w:rPr>
      </w:pPr>
    </w:p>
    <w:p w14:paraId="6EA8FDDB">
      <w:pPr>
        <w:pStyle w:val="3"/>
        <w:spacing w:before="47" w:line="560" w:lineRule="exact"/>
        <w:ind w:right="19"/>
        <w:jc w:val="center"/>
        <w:rPr>
          <w:rFonts w:hint="eastAsia" w:ascii="黑体" w:hAnsi="黑体" w:eastAsia="黑体" w:cs="黑体"/>
          <w:b/>
          <w:bCs/>
          <w:spacing w:val="8"/>
          <w:sz w:val="32"/>
          <w:szCs w:val="32"/>
          <w:highlight w:val="none"/>
          <w:lang w:eastAsia="zh-CN"/>
        </w:rPr>
      </w:pPr>
    </w:p>
    <w:p w14:paraId="2BD088FA">
      <w:pPr>
        <w:pStyle w:val="3"/>
        <w:spacing w:before="47" w:line="560" w:lineRule="exact"/>
        <w:ind w:right="19"/>
        <w:jc w:val="center"/>
        <w:rPr>
          <w:rFonts w:hint="eastAsia" w:ascii="黑体" w:hAnsi="黑体" w:eastAsia="黑体" w:cs="黑体"/>
          <w:b/>
          <w:bCs/>
          <w:spacing w:val="8"/>
          <w:sz w:val="32"/>
          <w:szCs w:val="32"/>
          <w:highlight w:val="none"/>
          <w:lang w:eastAsia="zh-CN"/>
        </w:rPr>
      </w:pPr>
    </w:p>
    <w:p w14:paraId="071955E8">
      <w:pPr>
        <w:pStyle w:val="3"/>
        <w:spacing w:before="47" w:line="560" w:lineRule="exact"/>
        <w:ind w:right="19"/>
        <w:jc w:val="center"/>
        <w:rPr>
          <w:rFonts w:hint="eastAsia" w:ascii="黑体" w:hAnsi="黑体" w:eastAsia="黑体" w:cs="黑体"/>
          <w:b/>
          <w:bCs/>
          <w:spacing w:val="8"/>
          <w:sz w:val="32"/>
          <w:szCs w:val="32"/>
          <w:highlight w:val="none"/>
          <w:lang w:eastAsia="zh-CN"/>
        </w:rPr>
      </w:pPr>
    </w:p>
    <w:p w14:paraId="0EE1B5A5">
      <w:pPr>
        <w:pStyle w:val="3"/>
        <w:spacing w:before="47" w:line="560" w:lineRule="exact"/>
        <w:ind w:right="19"/>
        <w:jc w:val="center"/>
        <w:rPr>
          <w:rFonts w:hint="eastAsia" w:ascii="黑体" w:hAnsi="黑体" w:eastAsia="黑体" w:cs="黑体"/>
          <w:b/>
          <w:bCs/>
          <w:spacing w:val="8"/>
          <w:sz w:val="32"/>
          <w:szCs w:val="32"/>
          <w:highlight w:val="none"/>
          <w:lang w:eastAsia="zh-CN"/>
        </w:rPr>
      </w:pPr>
    </w:p>
    <w:p w14:paraId="26EB6198">
      <w:pPr>
        <w:pStyle w:val="3"/>
        <w:spacing w:before="47" w:line="560" w:lineRule="exact"/>
        <w:ind w:right="19"/>
        <w:jc w:val="center"/>
        <w:rPr>
          <w:rFonts w:hint="eastAsia" w:ascii="黑体" w:hAnsi="黑体" w:eastAsia="黑体" w:cs="黑体"/>
          <w:b/>
          <w:bCs/>
          <w:spacing w:val="8"/>
          <w:sz w:val="32"/>
          <w:szCs w:val="32"/>
          <w:highlight w:val="none"/>
          <w:lang w:eastAsia="zh-CN"/>
        </w:rPr>
      </w:pPr>
    </w:p>
    <w:p w14:paraId="4E62E445">
      <w:pPr>
        <w:pStyle w:val="3"/>
        <w:spacing w:before="47" w:line="560" w:lineRule="exact"/>
        <w:ind w:right="19"/>
        <w:jc w:val="center"/>
        <w:rPr>
          <w:rFonts w:hint="eastAsia" w:ascii="黑体" w:hAnsi="黑体" w:eastAsia="黑体" w:cs="黑体"/>
          <w:b/>
          <w:bCs/>
          <w:spacing w:val="8"/>
          <w:sz w:val="32"/>
          <w:szCs w:val="32"/>
          <w:highlight w:val="none"/>
          <w:lang w:eastAsia="zh-CN"/>
        </w:rPr>
      </w:pPr>
    </w:p>
    <w:p w14:paraId="4704223C">
      <w:pPr>
        <w:pStyle w:val="3"/>
        <w:spacing w:before="47" w:line="560" w:lineRule="exact"/>
        <w:ind w:right="19"/>
        <w:jc w:val="center"/>
        <w:rPr>
          <w:rFonts w:hint="eastAsia" w:ascii="黑体" w:hAnsi="黑体" w:eastAsia="黑体" w:cs="黑体"/>
          <w:b/>
          <w:bCs/>
          <w:spacing w:val="8"/>
          <w:sz w:val="32"/>
          <w:szCs w:val="32"/>
          <w:highlight w:val="none"/>
          <w:lang w:eastAsia="zh-CN"/>
        </w:rPr>
      </w:pPr>
    </w:p>
    <w:p w14:paraId="7EE19D37">
      <w:pPr>
        <w:pStyle w:val="3"/>
        <w:spacing w:before="47" w:line="560" w:lineRule="exact"/>
        <w:ind w:right="19"/>
        <w:jc w:val="center"/>
        <w:rPr>
          <w:rFonts w:hint="eastAsia" w:ascii="黑体" w:hAnsi="黑体" w:eastAsia="黑体" w:cs="黑体"/>
          <w:b/>
          <w:bCs/>
          <w:spacing w:val="8"/>
          <w:sz w:val="32"/>
          <w:szCs w:val="32"/>
          <w:highlight w:val="none"/>
          <w:lang w:eastAsia="zh-CN"/>
        </w:rPr>
      </w:pPr>
    </w:p>
    <w:p w14:paraId="5B10DE5D">
      <w:pPr>
        <w:pStyle w:val="3"/>
        <w:spacing w:before="47" w:line="560" w:lineRule="exact"/>
        <w:ind w:right="19"/>
        <w:jc w:val="center"/>
        <w:rPr>
          <w:rFonts w:hint="eastAsia" w:ascii="黑体" w:hAnsi="黑体" w:eastAsia="黑体" w:cs="黑体"/>
          <w:b/>
          <w:bCs/>
          <w:spacing w:val="8"/>
          <w:sz w:val="32"/>
          <w:szCs w:val="32"/>
          <w:highlight w:val="none"/>
          <w:lang w:eastAsia="zh-CN"/>
        </w:rPr>
      </w:pPr>
    </w:p>
    <w:p w14:paraId="52DD16D7">
      <w:pPr>
        <w:pStyle w:val="3"/>
        <w:spacing w:before="47" w:line="560" w:lineRule="exact"/>
        <w:ind w:right="19"/>
        <w:jc w:val="center"/>
        <w:rPr>
          <w:rFonts w:hint="eastAsia" w:ascii="黑体" w:hAnsi="黑体" w:eastAsia="黑体" w:cs="黑体"/>
          <w:b/>
          <w:bCs/>
          <w:spacing w:val="8"/>
          <w:sz w:val="32"/>
          <w:szCs w:val="32"/>
          <w:highlight w:val="none"/>
          <w:lang w:eastAsia="zh-CN"/>
        </w:rPr>
      </w:pPr>
    </w:p>
    <w:p w14:paraId="7DD82095">
      <w:pPr>
        <w:pStyle w:val="3"/>
        <w:spacing w:before="47" w:line="560" w:lineRule="exact"/>
        <w:ind w:right="19"/>
        <w:jc w:val="center"/>
        <w:rPr>
          <w:rFonts w:hint="eastAsia" w:ascii="黑体" w:hAnsi="黑体" w:eastAsia="黑体" w:cs="黑体"/>
          <w:b/>
          <w:bCs/>
          <w:spacing w:val="8"/>
          <w:sz w:val="32"/>
          <w:szCs w:val="32"/>
          <w:highlight w:val="none"/>
          <w:lang w:eastAsia="zh-CN"/>
        </w:rPr>
      </w:pPr>
    </w:p>
    <w:p w14:paraId="1446D795">
      <w:pPr>
        <w:pStyle w:val="3"/>
        <w:spacing w:before="47" w:line="560" w:lineRule="exact"/>
        <w:ind w:right="19"/>
        <w:jc w:val="center"/>
        <w:rPr>
          <w:rFonts w:hint="eastAsia" w:ascii="黑体" w:hAnsi="黑体" w:eastAsia="黑体" w:cs="黑体"/>
          <w:b/>
          <w:bCs/>
          <w:spacing w:val="8"/>
          <w:sz w:val="32"/>
          <w:szCs w:val="32"/>
          <w:highlight w:val="none"/>
          <w:lang w:eastAsia="zh-CN"/>
        </w:rPr>
      </w:pPr>
    </w:p>
    <w:p w14:paraId="26177D8D">
      <w:pPr>
        <w:pStyle w:val="3"/>
        <w:spacing w:before="47" w:line="560" w:lineRule="exact"/>
        <w:ind w:right="19"/>
        <w:jc w:val="center"/>
        <w:rPr>
          <w:rFonts w:ascii="仿宋_GB2312" w:hAnsi="仿宋_GB2312" w:eastAsia="仿宋_GB2312" w:cs="仿宋_GB2312"/>
          <w:b/>
          <w:bCs/>
          <w:spacing w:val="8"/>
          <w:sz w:val="32"/>
          <w:szCs w:val="32"/>
          <w:highlight w:val="none"/>
          <w:lang w:eastAsia="zh-CN"/>
        </w:rPr>
      </w:pPr>
      <w:r>
        <w:rPr>
          <w:rFonts w:hint="eastAsia" w:ascii="黑体" w:hAnsi="黑体" w:eastAsia="黑体" w:cs="黑体"/>
          <w:b/>
          <w:bCs/>
          <w:spacing w:val="8"/>
          <w:sz w:val="32"/>
          <w:szCs w:val="32"/>
          <w:highlight w:val="none"/>
          <w:lang w:eastAsia="zh-CN"/>
        </w:rPr>
        <w:t>重2025</w:t>
      </w:r>
      <w:r>
        <w:rPr>
          <w:rFonts w:ascii="黑体" w:hAnsi="黑体" w:eastAsia="黑体" w:cs="黑体"/>
          <w:b/>
          <w:bCs/>
          <w:spacing w:val="8"/>
          <w:sz w:val="32"/>
          <w:szCs w:val="32"/>
          <w:highlight w:val="none"/>
          <w:lang w:eastAsia="zh-CN"/>
        </w:rPr>
        <w:t>100</w:t>
      </w:r>
      <w:r>
        <w:rPr>
          <w:rFonts w:hint="eastAsia" w:ascii="黑体" w:hAnsi="黑体" w:eastAsia="黑体" w:cs="黑体"/>
          <w:b/>
          <w:bCs/>
          <w:spacing w:val="8"/>
          <w:sz w:val="32"/>
          <w:szCs w:val="32"/>
          <w:highlight w:val="none"/>
          <w:lang w:val="en-US" w:eastAsia="zh-CN"/>
        </w:rPr>
        <w:t>01</w:t>
      </w:r>
      <w:r>
        <w:rPr>
          <w:rFonts w:hint="eastAsia" w:ascii="黑体" w:hAnsi="黑体" w:eastAsia="黑体" w:cs="黑体"/>
          <w:b/>
          <w:bCs/>
          <w:spacing w:val="8"/>
          <w:sz w:val="32"/>
          <w:szCs w:val="32"/>
          <w:highlight w:val="none"/>
          <w:lang w:eastAsia="zh-CN"/>
        </w:rPr>
        <w:t xml:space="preserve"> 新型感染标志物在感染性疾病、自身免疫性疾病诊断、用药及预后中的临床应用研究</w:t>
      </w:r>
    </w:p>
    <w:p w14:paraId="03DC7191">
      <w:pPr>
        <w:pStyle w:val="3"/>
        <w:spacing w:before="47" w:line="560" w:lineRule="exact"/>
        <w:ind w:right="19"/>
        <w:jc w:val="both"/>
        <w:rPr>
          <w:rFonts w:ascii="仿宋_GB2312" w:hAnsi="仿宋_GB2312" w:eastAsia="仿宋_GB2312" w:cs="仿宋_GB2312"/>
          <w:spacing w:val="8"/>
          <w:sz w:val="32"/>
          <w:szCs w:val="32"/>
          <w:highlight w:val="none"/>
          <w:lang w:eastAsia="zh-CN"/>
        </w:rPr>
      </w:pPr>
      <w:r>
        <w:rPr>
          <w:rFonts w:hint="eastAsia" w:ascii="黑体" w:hAnsi="黑体" w:eastAsia="黑体" w:cs="黑体"/>
          <w:spacing w:val="8"/>
          <w:sz w:val="32"/>
          <w:szCs w:val="32"/>
          <w:highlight w:val="none"/>
          <w:lang w:eastAsia="zh-CN"/>
        </w:rPr>
        <w:t>一、领域：</w:t>
      </w:r>
      <w:r>
        <w:rPr>
          <w:rFonts w:hint="eastAsia" w:ascii="仿宋_GB2312" w:hAnsi="仿宋_GB2312" w:eastAsia="仿宋_GB2312" w:cs="仿宋_GB2312"/>
          <w:bCs/>
          <w:spacing w:val="8"/>
          <w:sz w:val="32"/>
          <w:szCs w:val="32"/>
          <w:highlight w:val="none"/>
          <w:lang w:eastAsia="zh-CN"/>
        </w:rPr>
        <w:t>感染性疾病、自身免疫性疾病</w:t>
      </w:r>
    </w:p>
    <w:p w14:paraId="3AFD7CA7">
      <w:pPr>
        <w:pStyle w:val="3"/>
        <w:spacing w:before="47" w:line="560" w:lineRule="exact"/>
        <w:ind w:right="19"/>
        <w:jc w:val="both"/>
        <w:rPr>
          <w:rFonts w:ascii="黑体" w:hAnsi="黑体" w:eastAsia="黑体" w:cs="黑体"/>
          <w:spacing w:val="8"/>
          <w:sz w:val="32"/>
          <w:szCs w:val="32"/>
          <w:highlight w:val="none"/>
          <w:lang w:eastAsia="zh-CN"/>
        </w:rPr>
      </w:pPr>
      <w:r>
        <w:rPr>
          <w:rFonts w:hint="eastAsia" w:ascii="黑体" w:hAnsi="黑体" w:eastAsia="黑体" w:cs="黑体"/>
          <w:spacing w:val="8"/>
          <w:sz w:val="32"/>
          <w:szCs w:val="32"/>
          <w:highlight w:val="none"/>
          <w:lang w:eastAsia="zh-CN"/>
        </w:rPr>
        <w:t>二、主要研究内容</w:t>
      </w:r>
    </w:p>
    <w:p w14:paraId="6F39EFEE">
      <w:pPr>
        <w:pStyle w:val="3"/>
        <w:spacing w:before="47" w:line="560" w:lineRule="exact"/>
        <w:ind w:right="19" w:firstLine="672" w:firstLineChars="20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基于新型化学发光法检测的感染标志物在感染性疾病、自身免疫性疾病诊断、用药及预后的临床应用价值，并验证其临床诊疗及预后的价值，评估感染标志物在诊断准确性、敏感性和特异性等方面的优势，以及在治疗效果及预后评估等方面的价值，构建基于新型感染标志物的诊断及预后评估模型，为临床决策提供依据。</w:t>
      </w:r>
    </w:p>
    <w:p w14:paraId="0D5F4F50">
      <w:pPr>
        <w:pStyle w:val="3"/>
        <w:spacing w:before="47" w:line="560" w:lineRule="exact"/>
        <w:ind w:left="720" w:right="19" w:hanging="720"/>
        <w:jc w:val="both"/>
        <w:rPr>
          <w:rFonts w:ascii="黑体" w:hAnsi="黑体" w:eastAsia="黑体" w:cs="黑体"/>
          <w:spacing w:val="8"/>
          <w:sz w:val="32"/>
          <w:szCs w:val="32"/>
          <w:highlight w:val="none"/>
          <w:lang w:eastAsia="zh-CN"/>
        </w:rPr>
      </w:pPr>
      <w:r>
        <w:rPr>
          <w:rFonts w:hint="eastAsia" w:ascii="黑体" w:hAnsi="黑体" w:eastAsia="黑体" w:cs="黑体"/>
          <w:spacing w:val="8"/>
          <w:sz w:val="32"/>
          <w:szCs w:val="32"/>
          <w:highlight w:val="none"/>
          <w:lang w:eastAsia="zh-CN"/>
        </w:rPr>
        <w:t>三、项目考核指标（项目执行期内）</w:t>
      </w:r>
    </w:p>
    <w:p w14:paraId="1C725F6B">
      <w:pPr>
        <w:pStyle w:val="3"/>
        <w:spacing w:before="47" w:line="560" w:lineRule="exact"/>
        <w:ind w:right="19" w:firstLine="672" w:firstLineChars="20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（一）学术指标：</w:t>
      </w:r>
    </w:p>
    <w:p w14:paraId="385C78F8">
      <w:pPr>
        <w:pStyle w:val="3"/>
        <w:spacing w:before="47" w:line="560" w:lineRule="exact"/>
        <w:ind w:right="19" w:firstLine="672" w:firstLineChars="200"/>
        <w:jc w:val="both"/>
        <w:rPr>
          <w:rFonts w:hint="eastAsia"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发表中文或SCI论文≥1篇；</w:t>
      </w:r>
    </w:p>
    <w:p w14:paraId="63F6D63D">
      <w:pPr>
        <w:pStyle w:val="3"/>
        <w:spacing w:before="47" w:line="560" w:lineRule="exact"/>
        <w:ind w:right="19" w:firstLine="672" w:firstLineChars="20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（二）技术指标：</w:t>
      </w:r>
    </w:p>
    <w:p w14:paraId="0F85C226">
      <w:pPr>
        <w:pStyle w:val="3"/>
        <w:spacing w:before="47" w:line="560" w:lineRule="exact"/>
        <w:ind w:right="19" w:firstLine="672" w:firstLineChars="200"/>
        <w:jc w:val="both"/>
        <w:rPr>
          <w:rFonts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基于新型化学发光法检测的感染标志物在感染性疾病、自身免疫性疾病诊断、用药及预后的临床应用价值形成≥1份</w:t>
      </w:r>
      <w:r>
        <w:rPr>
          <w:rFonts w:hint="eastAsia" w:ascii="仿宋_GB2312" w:hAnsi="仿宋_GB2312" w:eastAsia="仿宋_GB2312" w:cs="仿宋_GB2312"/>
          <w:spacing w:val="8"/>
          <w:sz w:val="32"/>
          <w:szCs w:val="32"/>
          <w:highlight w:val="none"/>
          <w:lang w:val="en-US" w:eastAsia="zh-CN"/>
        </w:rPr>
        <w:t>项目</w:t>
      </w:r>
      <w:r>
        <w:rPr>
          <w:rFonts w:hint="eastAsia" w:ascii="仿宋_GB2312" w:hAnsi="仿宋_GB2312" w:eastAsia="仿宋_GB2312" w:cs="仿宋_GB2312"/>
          <w:spacing w:val="8"/>
          <w:sz w:val="32"/>
          <w:szCs w:val="32"/>
          <w:highlight w:val="none"/>
          <w:lang w:eastAsia="zh-CN"/>
        </w:rPr>
        <w:t>分析报告。</w:t>
      </w:r>
    </w:p>
    <w:p w14:paraId="1975D312">
      <w:pPr>
        <w:pStyle w:val="3"/>
        <w:spacing w:before="47" w:line="560" w:lineRule="exact"/>
        <w:ind w:right="19"/>
        <w:jc w:val="both"/>
        <w:rPr>
          <w:rFonts w:ascii="仿宋_GB2312" w:hAnsi="仿宋_GB2312" w:eastAsia="仿宋_GB2312" w:cs="仿宋_GB2312"/>
          <w:spacing w:val="8"/>
          <w:sz w:val="32"/>
          <w:szCs w:val="32"/>
          <w:highlight w:val="none"/>
          <w:lang w:eastAsia="zh-CN"/>
        </w:rPr>
      </w:pPr>
      <w:r>
        <w:rPr>
          <w:rFonts w:hint="eastAsia" w:ascii="黑体" w:hAnsi="黑体" w:eastAsia="黑体" w:cs="黑体"/>
          <w:spacing w:val="8"/>
          <w:sz w:val="32"/>
          <w:szCs w:val="32"/>
          <w:highlight w:val="none"/>
          <w:lang w:eastAsia="zh-CN"/>
        </w:rPr>
        <w:t>四、项目实施年限：</w:t>
      </w:r>
      <w:r>
        <w:rPr>
          <w:rFonts w:hint="eastAsia" w:ascii="仿宋_GB2312" w:hAnsi="仿宋_GB2312" w:eastAsia="仿宋_GB2312" w:cs="仿宋_GB2312"/>
          <w:spacing w:val="8"/>
          <w:sz w:val="32"/>
          <w:szCs w:val="32"/>
          <w:highlight w:val="none"/>
          <w:lang w:eastAsia="zh-CN"/>
        </w:rPr>
        <w:t>不超过2年</w:t>
      </w:r>
    </w:p>
    <w:p w14:paraId="582F13E8">
      <w:pPr>
        <w:pStyle w:val="3"/>
        <w:spacing w:before="47" w:line="560" w:lineRule="exact"/>
        <w:ind w:right="19"/>
        <w:rPr>
          <w:rFonts w:ascii="仿宋_GB2312" w:hAnsi="仿宋_GB2312" w:eastAsia="仿宋_GB2312" w:cs="仿宋_GB2312"/>
          <w:spacing w:val="8"/>
          <w:sz w:val="32"/>
          <w:szCs w:val="32"/>
          <w:highlight w:val="none"/>
          <w:lang w:eastAsia="zh-CN"/>
        </w:rPr>
      </w:pPr>
      <w:r>
        <w:rPr>
          <w:rFonts w:hint="eastAsia" w:ascii="黑体" w:hAnsi="黑体" w:eastAsia="黑体" w:cs="黑体"/>
          <w:spacing w:val="8"/>
          <w:sz w:val="32"/>
          <w:szCs w:val="32"/>
          <w:highlight w:val="none"/>
          <w:lang w:eastAsia="zh-CN"/>
        </w:rPr>
        <w:t>五、资助金额：</w:t>
      </w:r>
      <w:r>
        <w:rPr>
          <w:rFonts w:hint="eastAsia" w:ascii="仿宋_GB2312" w:hAnsi="仿宋_GB2312" w:eastAsia="仿宋_GB2312" w:cs="仿宋_GB2312"/>
          <w:spacing w:val="8"/>
          <w:sz w:val="32"/>
          <w:szCs w:val="32"/>
          <w:highlight w:val="none"/>
          <w:lang w:eastAsia="zh-CN"/>
        </w:rPr>
        <w:t>不超过30万元</w:t>
      </w:r>
    </w:p>
    <w:p w14:paraId="6345CA9C">
      <w:pPr>
        <w:pStyle w:val="3"/>
        <w:spacing w:before="47" w:line="560" w:lineRule="exact"/>
        <w:ind w:right="19"/>
        <w:rPr>
          <w:rFonts w:ascii="仿宋_GB2312" w:hAnsi="仿宋_GB2312" w:eastAsia="仿宋_GB2312" w:cs="仿宋_GB2312"/>
          <w:sz w:val="32"/>
          <w:szCs w:val="32"/>
          <w:highlight w:val="none"/>
          <w:lang w:eastAsia="zh-CN"/>
        </w:rPr>
      </w:pPr>
    </w:p>
    <w:p w14:paraId="3A1F02B5">
      <w:pPr>
        <w:pStyle w:val="3"/>
        <w:spacing w:before="47" w:line="560" w:lineRule="exact"/>
        <w:ind w:right="19"/>
        <w:rPr>
          <w:rFonts w:ascii="仿宋_GB2312" w:hAnsi="仿宋_GB2312" w:eastAsia="仿宋_GB2312" w:cs="仿宋_GB2312"/>
          <w:sz w:val="32"/>
          <w:szCs w:val="32"/>
          <w:highlight w:val="none"/>
          <w:lang w:eastAsia="zh-CN"/>
        </w:rPr>
      </w:pPr>
    </w:p>
    <w:sectPr>
      <w:pgSz w:w="11907" w:h="16839"/>
      <w:pgMar w:top="2211" w:right="1474" w:bottom="1871" w:left="1587"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trackRevisions w:val="1"/>
  <w:documentProtection w:enforcement="0"/>
  <w:defaultTabStop w:val="420"/>
  <w:characterSpacingControl w:val="doNotCompress"/>
  <w:compat>
    <w:spaceForUL/>
    <w:ulTrailSpace/>
    <w:useFELayout/>
    <w:compatSetting w:name="compatibilityMode" w:uri="http://schemas.microsoft.com/office/word" w:val="14"/>
  </w:compat>
  <w:rsids>
    <w:rsidRoot w:val="00B35F3D"/>
    <w:rsid w:val="00006DFC"/>
    <w:rsid w:val="00013B3F"/>
    <w:rsid w:val="000251F2"/>
    <w:rsid w:val="00070180"/>
    <w:rsid w:val="000A32BA"/>
    <w:rsid w:val="000B6E70"/>
    <w:rsid w:val="000C42AA"/>
    <w:rsid w:val="000F3A13"/>
    <w:rsid w:val="0012225F"/>
    <w:rsid w:val="001366EE"/>
    <w:rsid w:val="001376E8"/>
    <w:rsid w:val="00137D38"/>
    <w:rsid w:val="00143FBD"/>
    <w:rsid w:val="00172E38"/>
    <w:rsid w:val="0018163F"/>
    <w:rsid w:val="001A37A7"/>
    <w:rsid w:val="001B5FCD"/>
    <w:rsid w:val="001D25E0"/>
    <w:rsid w:val="001F6461"/>
    <w:rsid w:val="00233215"/>
    <w:rsid w:val="00247F50"/>
    <w:rsid w:val="00264255"/>
    <w:rsid w:val="002858FD"/>
    <w:rsid w:val="002C2253"/>
    <w:rsid w:val="00331212"/>
    <w:rsid w:val="003607C7"/>
    <w:rsid w:val="00380879"/>
    <w:rsid w:val="0039056C"/>
    <w:rsid w:val="0039111E"/>
    <w:rsid w:val="003A3F6F"/>
    <w:rsid w:val="004076AE"/>
    <w:rsid w:val="004136A6"/>
    <w:rsid w:val="004261C9"/>
    <w:rsid w:val="00483C33"/>
    <w:rsid w:val="004B2DBE"/>
    <w:rsid w:val="004B5697"/>
    <w:rsid w:val="004C657A"/>
    <w:rsid w:val="00527FC2"/>
    <w:rsid w:val="00531B2D"/>
    <w:rsid w:val="00564DC3"/>
    <w:rsid w:val="00571A19"/>
    <w:rsid w:val="005A3D96"/>
    <w:rsid w:val="005E05BC"/>
    <w:rsid w:val="005E3904"/>
    <w:rsid w:val="005F4F4B"/>
    <w:rsid w:val="00613221"/>
    <w:rsid w:val="00621681"/>
    <w:rsid w:val="00637CB6"/>
    <w:rsid w:val="006B0C42"/>
    <w:rsid w:val="006C01FE"/>
    <w:rsid w:val="006E1B8D"/>
    <w:rsid w:val="00710394"/>
    <w:rsid w:val="00712860"/>
    <w:rsid w:val="007414D1"/>
    <w:rsid w:val="00742C2A"/>
    <w:rsid w:val="00785360"/>
    <w:rsid w:val="00790220"/>
    <w:rsid w:val="007A0BFB"/>
    <w:rsid w:val="007B5FDB"/>
    <w:rsid w:val="007C1556"/>
    <w:rsid w:val="007E0BC3"/>
    <w:rsid w:val="007E218D"/>
    <w:rsid w:val="00801623"/>
    <w:rsid w:val="008041FB"/>
    <w:rsid w:val="008219CC"/>
    <w:rsid w:val="00825A91"/>
    <w:rsid w:val="00834398"/>
    <w:rsid w:val="00847A32"/>
    <w:rsid w:val="0085197F"/>
    <w:rsid w:val="00855B4A"/>
    <w:rsid w:val="008A7DF1"/>
    <w:rsid w:val="008D762F"/>
    <w:rsid w:val="00913573"/>
    <w:rsid w:val="009411EB"/>
    <w:rsid w:val="00942C1D"/>
    <w:rsid w:val="009A51CC"/>
    <w:rsid w:val="009A5266"/>
    <w:rsid w:val="009A6751"/>
    <w:rsid w:val="009E14DB"/>
    <w:rsid w:val="00A3174A"/>
    <w:rsid w:val="00A32B73"/>
    <w:rsid w:val="00A51C70"/>
    <w:rsid w:val="00A53A28"/>
    <w:rsid w:val="00A649E9"/>
    <w:rsid w:val="00A66A1F"/>
    <w:rsid w:val="00A92EFC"/>
    <w:rsid w:val="00AF7FCE"/>
    <w:rsid w:val="00B023BD"/>
    <w:rsid w:val="00B114F2"/>
    <w:rsid w:val="00B30856"/>
    <w:rsid w:val="00B35F3D"/>
    <w:rsid w:val="00B71E52"/>
    <w:rsid w:val="00B808AF"/>
    <w:rsid w:val="00BB444D"/>
    <w:rsid w:val="00BD120F"/>
    <w:rsid w:val="00C44614"/>
    <w:rsid w:val="00C52EDC"/>
    <w:rsid w:val="00C551BF"/>
    <w:rsid w:val="00D20AC5"/>
    <w:rsid w:val="00D233AD"/>
    <w:rsid w:val="00D25832"/>
    <w:rsid w:val="00D31972"/>
    <w:rsid w:val="00D602C8"/>
    <w:rsid w:val="00D65372"/>
    <w:rsid w:val="00DA44A8"/>
    <w:rsid w:val="00DA4881"/>
    <w:rsid w:val="00DA6361"/>
    <w:rsid w:val="00DB453A"/>
    <w:rsid w:val="00E500EB"/>
    <w:rsid w:val="00E601DE"/>
    <w:rsid w:val="00EA1EE5"/>
    <w:rsid w:val="00EA5A5C"/>
    <w:rsid w:val="00EC423E"/>
    <w:rsid w:val="00EC6C91"/>
    <w:rsid w:val="00EC6FFA"/>
    <w:rsid w:val="00F00195"/>
    <w:rsid w:val="00F010C1"/>
    <w:rsid w:val="00F0705E"/>
    <w:rsid w:val="00F24A0A"/>
    <w:rsid w:val="00F32FD6"/>
    <w:rsid w:val="00F44032"/>
    <w:rsid w:val="00F71B7D"/>
    <w:rsid w:val="00F7282D"/>
    <w:rsid w:val="00F92335"/>
    <w:rsid w:val="00F93E4E"/>
    <w:rsid w:val="00FC782C"/>
    <w:rsid w:val="00FC7A7E"/>
    <w:rsid w:val="04891622"/>
    <w:rsid w:val="065C4EFE"/>
    <w:rsid w:val="0AB02221"/>
    <w:rsid w:val="141824E9"/>
    <w:rsid w:val="19DC4AFA"/>
    <w:rsid w:val="31BE0075"/>
    <w:rsid w:val="43AB3FFC"/>
    <w:rsid w:val="550F5D1A"/>
    <w:rsid w:val="595147F0"/>
    <w:rsid w:val="6D00240A"/>
    <w:rsid w:val="782C2250"/>
    <w:rsid w:val="7A2E3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style>
  <w:style w:type="paragraph" w:styleId="3">
    <w:name w:val="Body Text"/>
    <w:basedOn w:val="1"/>
    <w:link w:val="11"/>
    <w:semiHidden/>
    <w:qFormat/>
    <w:uiPriority w:val="0"/>
    <w:rPr>
      <w:rFonts w:ascii="仿宋" w:hAnsi="仿宋" w:eastAsia="仿宋" w:cs="仿宋"/>
      <w:sz w:val="31"/>
      <w:szCs w:val="31"/>
    </w:rPr>
  </w:style>
  <w:style w:type="paragraph" w:styleId="4">
    <w:name w:val="Plain Text"/>
    <w:basedOn w:val="1"/>
    <w:link w:val="15"/>
    <w:qFormat/>
    <w:uiPriority w:val="0"/>
    <w:pPr>
      <w:widowControl w:val="0"/>
      <w:jc w:val="both"/>
    </w:pPr>
    <w:rPr>
      <w:rFonts w:ascii="宋体" w:hAnsi="Courier New" w:cs="Courier New"/>
    </w:rPr>
  </w:style>
  <w:style w:type="paragraph" w:styleId="5">
    <w:name w:val="Balloon Text"/>
    <w:basedOn w:val="1"/>
    <w:link w:val="14"/>
    <w:semiHidden/>
    <w:unhideWhenUsed/>
    <w:qFormat/>
    <w:uiPriority w:val="99"/>
    <w:rPr>
      <w:sz w:val="18"/>
      <w:szCs w:val="18"/>
    </w:rPr>
  </w:style>
  <w:style w:type="character" w:styleId="8">
    <w:name w:val="Hyperlink"/>
    <w:basedOn w:val="7"/>
    <w:semiHidden/>
    <w:unhideWhenUsed/>
    <w:qFormat/>
    <w:uiPriority w:val="99"/>
    <w:rPr>
      <w:color w:val="0000FF"/>
      <w:u w:val="single"/>
    </w:rPr>
  </w:style>
  <w:style w:type="character" w:styleId="9">
    <w:name w:val="annotation reference"/>
    <w:basedOn w:val="7"/>
    <w:semiHidden/>
    <w:unhideWhenUsed/>
    <w:uiPriority w:val="99"/>
    <w:rPr>
      <w:sz w:val="21"/>
      <w:szCs w:val="21"/>
    </w:rPr>
  </w:style>
  <w:style w:type="table" w:customStyle="1" w:styleId="10">
    <w:name w:val="Table Normal"/>
    <w:semiHidden/>
    <w:unhideWhenUsed/>
    <w:qFormat/>
    <w:uiPriority w:val="0"/>
    <w:tblPr>
      <w:tblCellMar>
        <w:top w:w="0" w:type="dxa"/>
        <w:left w:w="0" w:type="dxa"/>
        <w:bottom w:w="0" w:type="dxa"/>
        <w:right w:w="0" w:type="dxa"/>
      </w:tblCellMar>
    </w:tblPr>
  </w:style>
  <w:style w:type="character" w:customStyle="1" w:styleId="11">
    <w:name w:val="正文文本 字符"/>
    <w:basedOn w:val="7"/>
    <w:link w:val="3"/>
    <w:semiHidden/>
    <w:qFormat/>
    <w:uiPriority w:val="0"/>
    <w:rPr>
      <w:rFonts w:ascii="仿宋" w:hAnsi="仿宋" w:eastAsia="仿宋" w:cs="仿宋"/>
      <w:sz w:val="31"/>
      <w:szCs w:val="31"/>
    </w:rPr>
  </w:style>
  <w:style w:type="paragraph" w:customStyle="1" w:styleId="12">
    <w:name w:val="列表段落1"/>
    <w:basedOn w:val="1"/>
    <w:qFormat/>
    <w:uiPriority w:val="0"/>
    <w:pPr>
      <w:widowControl w:val="0"/>
      <w:kinsoku/>
      <w:autoSpaceDE/>
      <w:autoSpaceDN/>
      <w:adjustRightInd/>
      <w:snapToGrid/>
      <w:ind w:firstLine="420" w:firstLineChars="200"/>
      <w:jc w:val="both"/>
      <w:textAlignment w:val="auto"/>
    </w:pPr>
    <w:rPr>
      <w:rFonts w:ascii="等线" w:hAnsi="等线" w:eastAsia="等线" w:cs="Times New Roman"/>
      <w:snapToGrid/>
      <w:color w:val="auto"/>
      <w:kern w:val="2"/>
      <w:lang w:eastAsia="zh-CN"/>
    </w:rPr>
  </w:style>
  <w:style w:type="paragraph" w:styleId="13">
    <w:name w:val="List Paragraph"/>
    <w:basedOn w:val="1"/>
    <w:qFormat/>
    <w:uiPriority w:val="34"/>
    <w:pPr>
      <w:widowControl w:val="0"/>
      <w:ind w:firstLine="420"/>
      <w:jc w:val="both"/>
    </w:pPr>
    <w:rPr>
      <w:rFonts w:asciiTheme="minorHAnsi" w:hAnsiTheme="minorHAnsi" w:cstheme="minorBidi"/>
      <w:kern w:val="2"/>
      <w:szCs w:val="22"/>
    </w:rPr>
  </w:style>
  <w:style w:type="character" w:customStyle="1" w:styleId="14">
    <w:name w:val="批注框文本 字符"/>
    <w:basedOn w:val="7"/>
    <w:link w:val="5"/>
    <w:semiHidden/>
    <w:qFormat/>
    <w:uiPriority w:val="99"/>
    <w:rPr>
      <w:snapToGrid w:val="0"/>
      <w:color w:val="000000"/>
      <w:sz w:val="18"/>
      <w:szCs w:val="18"/>
      <w:lang w:eastAsia="en-US"/>
    </w:rPr>
  </w:style>
  <w:style w:type="character" w:customStyle="1" w:styleId="15">
    <w:name w:val="纯文本 字符"/>
    <w:basedOn w:val="7"/>
    <w:link w:val="4"/>
    <w:qFormat/>
    <w:uiPriority w:val="0"/>
    <w:rPr>
      <w:rFonts w:ascii="宋体" w:hAnsi="Courier New" w:cs="Courier New"/>
      <w:snapToGrid w:val="0"/>
      <w:color w:val="000000"/>
      <w:sz w:val="21"/>
      <w:szCs w:val="21"/>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5689</Words>
  <Characters>6009</Characters>
  <Lines>28</Lines>
  <Paragraphs>8</Paragraphs>
  <TotalTime>19</TotalTime>
  <ScaleCrop>false</ScaleCrop>
  <LinksUpToDate>false</LinksUpToDate>
  <CharactersWithSpaces>6026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2023-12-18T16:39:00Z</dcterms:created>
  <dc:creator>Long Li</dc:creator>
  <cp:lastModifiedBy>Elfinsword、</cp:lastModifiedBy>
  <cp:lastPrinted>2025-09-04T01:18:00Z</cp:lastPrinted>
  <dcterms:modified xsi:type="dcterms:W3CDTF">2025-10-16T14:34:01Z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2024-12-04T09:37:30Z</vt:filetime>
  </property>
  <property fmtid="{D5CDD505-2E9C-101B-9397-08002B2CF9AE}" pid="4" name="KSOTemplateDocerSaveRecord">
    <vt:lpwstr>eyJoZGlkIjoiNjU3NzY3ZDVhNmYxZDhkNDQ2NTlmZDhiM2QxMGFlODAiLCJ1c2VySWQiOiIzNTE1MjMxMzUifQ==</vt:lpwstr>
  </property>
  <property fmtid="{D5CDD505-2E9C-101B-9397-08002B2CF9AE}" pid="5" name="KSOProductBuildVer">
    <vt:lpwstr>2052-12.1.0.23125</vt:lpwstr>
  </property>
  <property fmtid="{D5CDD505-2E9C-101B-9397-08002B2CF9AE}" pid="6" name="ICV">
    <vt:lpwstr>345FF75C55434822BFDF6A8825B542C5_13</vt:lpwstr>
  </property>
</Properties>
</file>