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ED02D">
      <w:pPr>
        <w:keepNext w:val="0"/>
        <w:keepLines w:val="0"/>
        <w:pageBreakBefore w:val="0"/>
        <w:widowControl/>
        <w:kinsoku/>
        <w:wordWrap/>
        <w:overflowPunct w:val="0"/>
        <w:topLinePunct w:val="0"/>
        <w:autoSpaceDE/>
        <w:autoSpaceDN/>
        <w:bidi w:val="0"/>
        <w:adjustRightInd w:val="0"/>
        <w:snapToGrid w:val="0"/>
        <w:spacing w:line="560" w:lineRule="exact"/>
        <w:jc w:val="center"/>
        <w:textAlignment w:val="baseline"/>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val="en-US" w:eastAsia="zh-CN"/>
        </w:rPr>
        <w:t>2025年三维空间生物学开放基金（第一批）</w:t>
      </w:r>
      <w:r>
        <w:rPr>
          <w:rFonts w:hint="eastAsia" w:ascii="方正小标宋简体" w:hAnsi="方正小标宋简体" w:eastAsia="方正小标宋简体" w:cs="方正小标宋简体"/>
          <w:sz w:val="44"/>
          <w:szCs w:val="44"/>
          <w:highlight w:val="none"/>
          <w:lang w:eastAsia="zh-CN"/>
        </w:rPr>
        <w:t>项目申请指南</w:t>
      </w:r>
    </w:p>
    <w:p w14:paraId="4036AFAD">
      <w:pPr>
        <w:keepNext w:val="0"/>
        <w:keepLines w:val="0"/>
        <w:pageBreakBefore w:val="0"/>
        <w:widowControl/>
        <w:kinsoku/>
        <w:wordWrap/>
        <w:overflowPunct w:val="0"/>
        <w:topLinePunct w:val="0"/>
        <w:autoSpaceDE/>
        <w:autoSpaceDN/>
        <w:bidi w:val="0"/>
        <w:adjustRightInd w:val="0"/>
        <w:snapToGrid w:val="0"/>
        <w:spacing w:line="560" w:lineRule="exact"/>
        <w:textAlignment w:val="baseline"/>
        <w:rPr>
          <w:rFonts w:hint="eastAsia" w:ascii="仿宋_GB2312" w:hAnsi="仿宋_GB2312" w:eastAsia="仿宋_GB2312" w:cs="仿宋_GB2312"/>
          <w:sz w:val="32"/>
          <w:szCs w:val="32"/>
          <w:highlight w:val="none"/>
          <w:lang w:eastAsia="zh-CN"/>
        </w:rPr>
      </w:pPr>
    </w:p>
    <w:p w14:paraId="4C44B6EB">
      <w:pPr>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textAlignment w:val="baseline"/>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一、申请内容</w:t>
      </w:r>
    </w:p>
    <w:p w14:paraId="131886D2">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为</w:t>
      </w:r>
      <w:r>
        <w:rPr>
          <w:rFonts w:hint="eastAsia" w:ascii="仿宋_GB2312" w:hAnsi="仿宋_GB2312" w:eastAsia="仿宋_GB2312" w:cs="仿宋_GB2312"/>
          <w:sz w:val="32"/>
          <w:szCs w:val="32"/>
          <w:highlight w:val="none"/>
          <w:lang w:val="en-US" w:eastAsia="zh-CN"/>
        </w:rPr>
        <w:t>推动</w:t>
      </w:r>
      <w:r>
        <w:rPr>
          <w:rFonts w:hint="eastAsia" w:ascii="仿宋_GB2312" w:hAnsi="仿宋_GB2312" w:eastAsia="仿宋_GB2312" w:cs="仿宋_GB2312"/>
          <w:sz w:val="32"/>
          <w:szCs w:val="32"/>
          <w:highlight w:val="none"/>
          <w:lang w:val="en-US" w:eastAsia="zh-CN"/>
        </w:rPr>
        <w:t>三维空间生物学技术</w:t>
      </w:r>
      <w:r>
        <w:rPr>
          <w:rFonts w:hint="eastAsia" w:ascii="仿宋_GB2312" w:hAnsi="仿宋_GB2312" w:eastAsia="仿宋_GB2312" w:cs="仿宋_GB2312"/>
          <w:sz w:val="32"/>
          <w:szCs w:val="32"/>
          <w:highlight w:val="none"/>
          <w:lang w:val="en-US" w:eastAsia="zh-CN"/>
        </w:rPr>
        <w:t>领域的应用突破</w:t>
      </w:r>
      <w:r>
        <w:rPr>
          <w:rFonts w:hint="eastAsia" w:ascii="仿宋_GB2312" w:hAnsi="仿宋_GB2312" w:eastAsia="仿宋_GB2312" w:cs="仿宋_GB2312"/>
          <w:sz w:val="32"/>
          <w:szCs w:val="32"/>
          <w:highlight w:val="none"/>
          <w:lang w:eastAsia="zh-CN"/>
        </w:rPr>
        <w:t>，发挥国家高性能医疗器械创新中心（以下简称“国创中心”）的国家平台载体作用，围绕</w:t>
      </w:r>
      <w:r>
        <w:rPr>
          <w:rFonts w:hint="eastAsia" w:ascii="仿宋_GB2312" w:hAnsi="仿宋_GB2312" w:eastAsia="仿宋_GB2312" w:cs="仿宋_GB2312"/>
          <w:sz w:val="32"/>
          <w:szCs w:val="32"/>
          <w:highlight w:val="none"/>
          <w:lang w:val="en-US" w:eastAsia="zh-CN"/>
        </w:rPr>
        <w:t>三维空间生物学成像与分析</w:t>
      </w:r>
      <w:r>
        <w:rPr>
          <w:rFonts w:hint="eastAsia" w:ascii="仿宋_GB2312" w:hAnsi="仿宋_GB2312" w:eastAsia="仿宋_GB2312" w:cs="仿宋_GB2312"/>
          <w:sz w:val="32"/>
          <w:szCs w:val="32"/>
          <w:highlight w:val="none"/>
          <w:lang w:eastAsia="zh-CN"/>
        </w:rPr>
        <w:t>领域，聚焦</w:t>
      </w:r>
      <w:r>
        <w:rPr>
          <w:rFonts w:hint="eastAsia" w:ascii="仿宋_GB2312" w:hAnsi="仿宋_GB2312" w:eastAsia="仿宋_GB2312" w:cs="仿宋_GB2312"/>
          <w:sz w:val="32"/>
          <w:szCs w:val="32"/>
          <w:highlight w:val="none"/>
          <w:lang w:val="en-US" w:eastAsia="zh-CN"/>
        </w:rPr>
        <w:t>三维空间生物学技术的临床转化与产业化</w:t>
      </w:r>
      <w:r>
        <w:rPr>
          <w:rFonts w:hint="eastAsia" w:ascii="仿宋_GB2312" w:hAnsi="仿宋_GB2312" w:eastAsia="仿宋_GB2312" w:cs="仿宋_GB2312"/>
          <w:sz w:val="32"/>
          <w:szCs w:val="32"/>
          <w:highlight w:val="none"/>
          <w:lang w:eastAsia="zh-CN"/>
        </w:rPr>
        <w:t>方向</w:t>
      </w:r>
      <w:r>
        <w:rPr>
          <w:rFonts w:hint="eastAsia" w:ascii="仿宋_GB2312" w:hAnsi="仿宋_GB2312" w:eastAsia="仿宋_GB2312" w:cs="仿宋_GB2312"/>
          <w:sz w:val="32"/>
          <w:szCs w:val="32"/>
          <w:highlight w:val="none"/>
          <w:lang w:eastAsia="zh-CN"/>
        </w:rPr>
        <w:t>，重点面向省市级医院发布一批课题，鼓励临床医务人员开展前沿性临床研究与科学创新，提升</w:t>
      </w:r>
      <w:r>
        <w:rPr>
          <w:rFonts w:hint="eastAsia" w:ascii="仿宋_GB2312" w:hAnsi="仿宋_GB2312" w:eastAsia="仿宋_GB2312" w:cs="仿宋_GB2312"/>
          <w:sz w:val="32"/>
          <w:szCs w:val="32"/>
          <w:highlight w:val="none"/>
          <w:lang w:val="en-US" w:eastAsia="zh-CN"/>
        </w:rPr>
        <w:t>科研及医学影像</w:t>
      </w:r>
      <w:r>
        <w:rPr>
          <w:rFonts w:hint="eastAsia" w:ascii="仿宋_GB2312" w:hAnsi="仿宋_GB2312" w:eastAsia="仿宋_GB2312" w:cs="仿宋_GB2312"/>
          <w:sz w:val="32"/>
          <w:szCs w:val="32"/>
          <w:highlight w:val="none"/>
          <w:lang w:eastAsia="zh-CN"/>
        </w:rPr>
        <w:t>技术水平，加快</w:t>
      </w:r>
      <w:r>
        <w:rPr>
          <w:rFonts w:hint="eastAsia" w:ascii="仿宋_GB2312" w:hAnsi="仿宋_GB2312" w:eastAsia="仿宋_GB2312" w:cs="仿宋_GB2312"/>
          <w:sz w:val="32"/>
          <w:szCs w:val="32"/>
          <w:highlight w:val="none"/>
          <w:lang w:val="en-US" w:eastAsia="zh-CN"/>
        </w:rPr>
        <w:t>三维空间生物学</w:t>
      </w:r>
      <w:r>
        <w:rPr>
          <w:rFonts w:hint="eastAsia" w:ascii="仿宋_GB2312" w:hAnsi="仿宋_GB2312" w:eastAsia="仿宋_GB2312" w:cs="仿宋_GB2312"/>
          <w:sz w:val="32"/>
          <w:szCs w:val="32"/>
          <w:highlight w:val="none"/>
          <w:lang w:eastAsia="zh-CN"/>
        </w:rPr>
        <w:t>技术创新与临床转化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现发布</w:t>
      </w:r>
      <w:r>
        <w:rPr>
          <w:rFonts w:hint="eastAsia" w:ascii="仿宋_GB2312" w:hAnsi="仿宋_GB2312" w:eastAsia="仿宋_GB2312" w:cs="仿宋_GB2312"/>
          <w:sz w:val="32"/>
          <w:szCs w:val="32"/>
          <w:highlight w:val="none"/>
          <w:lang w:eastAsia="zh-CN"/>
        </w:rPr>
        <w:t>2</w:t>
      </w:r>
      <w:r>
        <w:rPr>
          <w:rFonts w:ascii="仿宋_GB2312" w:hAnsi="仿宋_GB2312" w:eastAsia="仿宋_GB2312" w:cs="仿宋_GB2312"/>
          <w:sz w:val="32"/>
          <w:szCs w:val="32"/>
          <w:highlight w:val="none"/>
          <w:lang w:eastAsia="zh-CN"/>
        </w:rPr>
        <w:t>025</w:t>
      </w:r>
      <w:r>
        <w:rPr>
          <w:rFonts w:hint="eastAsia" w:ascii="仿宋_GB2312" w:hAnsi="仿宋_GB2312" w:eastAsia="仿宋_GB2312" w:cs="仿宋_GB2312"/>
          <w:sz w:val="32"/>
          <w:szCs w:val="32"/>
          <w:highlight w:val="none"/>
          <w:lang w:eastAsia="zh-CN"/>
        </w:rPr>
        <w:t>年</w:t>
      </w:r>
      <w:r>
        <w:rPr>
          <w:rFonts w:hint="eastAsia" w:ascii="仿宋_GB2312" w:hAnsi="仿宋_GB2312" w:eastAsia="仿宋_GB2312" w:cs="仿宋_GB2312"/>
          <w:sz w:val="32"/>
          <w:szCs w:val="32"/>
          <w:highlight w:val="none"/>
          <w:lang w:val="en-US" w:eastAsia="zh-CN"/>
        </w:rPr>
        <w:t>三维空间生物学开放</w:t>
      </w:r>
      <w:r>
        <w:rPr>
          <w:rFonts w:hint="eastAsia" w:ascii="仿宋_GB2312" w:hAnsi="仿宋_GB2312" w:eastAsia="仿宋_GB2312" w:cs="仿宋_GB2312"/>
          <w:sz w:val="32"/>
          <w:szCs w:val="32"/>
          <w:highlight w:val="none"/>
          <w:lang w:eastAsia="zh-CN"/>
        </w:rPr>
        <w:t>基金</w:t>
      </w:r>
      <w:r>
        <w:rPr>
          <w:rFonts w:hint="eastAsia" w:ascii="仿宋_GB2312" w:hAnsi="仿宋_GB2312" w:eastAsia="仿宋_GB2312" w:cs="仿宋_GB2312"/>
          <w:sz w:val="32"/>
          <w:szCs w:val="32"/>
          <w:highlight w:val="none"/>
          <w:lang w:eastAsia="zh-CN"/>
        </w:rPr>
        <w:t>项目申请指南。</w:t>
      </w:r>
    </w:p>
    <w:p w14:paraId="34709306">
      <w:pPr>
        <w:spacing w:line="560" w:lineRule="exact"/>
        <w:rPr>
          <w:rFonts w:ascii="黑体" w:hAnsi="黑体" w:eastAsia="黑体" w:cs="黑体"/>
          <w:sz w:val="32"/>
          <w:szCs w:val="32"/>
          <w:lang w:eastAsia="zh-CN"/>
        </w:rPr>
      </w:pPr>
      <w:r>
        <w:rPr>
          <w:rFonts w:hint="eastAsia" w:ascii="黑体" w:hAnsi="黑体" w:eastAsia="黑体" w:cs="黑体"/>
          <w:sz w:val="32"/>
          <w:szCs w:val="32"/>
          <w:lang w:eastAsia="zh-CN"/>
        </w:rPr>
        <w:t>二、支持强度与方式</w:t>
      </w:r>
    </w:p>
    <w:p w14:paraId="73B8C28C">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支持强度：有数量限制，受研发资金年度总额控制，资助强度最高不超过</w:t>
      </w: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lang w:eastAsia="zh-CN"/>
        </w:rPr>
        <w:t>00</w:t>
      </w:r>
      <w:r>
        <w:rPr>
          <w:rFonts w:hint="eastAsia" w:ascii="仿宋_GB2312" w:hAnsi="仿宋_GB2312" w:eastAsia="仿宋_GB2312" w:cs="仿宋_GB2312"/>
          <w:sz w:val="32"/>
          <w:szCs w:val="32"/>
          <w:lang w:eastAsia="zh-CN"/>
        </w:rPr>
        <w:t>万元。</w:t>
      </w:r>
    </w:p>
    <w:p w14:paraId="5C429541">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支持方式：事前资助。</w:t>
      </w:r>
    </w:p>
    <w:p w14:paraId="4E8E9CBB">
      <w:pPr>
        <w:spacing w:line="560" w:lineRule="exact"/>
        <w:rPr>
          <w:rFonts w:ascii="黑体" w:hAnsi="黑体" w:eastAsia="黑体" w:cs="黑体"/>
          <w:sz w:val="32"/>
          <w:szCs w:val="32"/>
          <w:lang w:eastAsia="zh-CN"/>
        </w:rPr>
      </w:pPr>
      <w:r>
        <w:rPr>
          <w:rFonts w:hint="eastAsia" w:ascii="黑体" w:hAnsi="黑体" w:eastAsia="黑体" w:cs="黑体"/>
          <w:sz w:val="32"/>
          <w:szCs w:val="32"/>
          <w:lang w:eastAsia="zh-CN"/>
        </w:rPr>
        <w:t>三、申请条件</w:t>
      </w:r>
    </w:p>
    <w:p w14:paraId="54C09A45">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申请国家高性能医疗器械创新中心资助应当符合以下条件：</w:t>
      </w:r>
    </w:p>
    <w:p w14:paraId="27FBEF73">
      <w:pPr>
        <w:numPr>
          <w:ilvl w:val="0"/>
          <w:numId w:val="0"/>
        </w:num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napToGrid w:val="0"/>
          <w:color w:val="000000"/>
          <w:sz w:val="32"/>
          <w:szCs w:val="32"/>
          <w:lang w:val="en-US" w:eastAsia="zh-CN" w:bidi="ar-SA"/>
        </w:rPr>
        <w:t>（一）</w:t>
      </w:r>
      <w:r>
        <w:rPr>
          <w:rFonts w:hint="eastAsia" w:ascii="仿宋_GB2312" w:hAnsi="仿宋_GB2312" w:eastAsia="仿宋_GB2312" w:cs="仿宋_GB2312"/>
          <w:sz w:val="32"/>
          <w:szCs w:val="32"/>
          <w:lang w:eastAsia="zh-CN"/>
        </w:rPr>
        <w:t>申请人需为具有博士学位或副高以上技术职称的海内外学者，尤其鼓励临床医学的优秀学者申报。按照规定填写《国家高性能医疗器械创新中心开放基金资助项目申请书》；</w:t>
      </w:r>
    </w:p>
    <w:p w14:paraId="483F0BF1">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（二）申请人应于指南发布截止期限内将申请书（先提交电子文档，待审核完成后再提交纸质材料一式三份）报送国创中心科研任务部；</w:t>
      </w:r>
    </w:p>
    <w:p w14:paraId="4A290494">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（三）申请人所在单位对申请人的能力、水平以及申请的内容进行审查，提出推荐意见，承诺对申请人的时间和条件给予支持与保证，并加盖单位公章；</w:t>
      </w:r>
    </w:p>
    <w:p w14:paraId="37EC918D">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（四）开放基金</w:t>
      </w:r>
      <w:r>
        <w:rPr>
          <w:rFonts w:hint="eastAsia" w:ascii="仿宋_GB2312" w:hAnsi="仿宋_GB2312" w:eastAsia="仿宋_GB2312" w:cs="仿宋_GB2312"/>
          <w:sz w:val="32"/>
          <w:szCs w:val="32"/>
          <w:lang w:val="en-US" w:eastAsia="zh-CN"/>
        </w:rPr>
        <w:t>面上</w:t>
      </w:r>
      <w:r>
        <w:rPr>
          <w:rFonts w:hint="eastAsia" w:ascii="仿宋_GB2312" w:hAnsi="仿宋_GB2312" w:eastAsia="仿宋_GB2312" w:cs="仿宋_GB2312"/>
          <w:sz w:val="32"/>
          <w:szCs w:val="32"/>
          <w:lang w:eastAsia="zh-CN"/>
        </w:rPr>
        <w:t>课题研究年限不超过2年。研究计划一经确定，必须认真执行。每年须按要求向国创中心提交课题进展报告。如需要变更，需提前3个月提交书面申请，经专家委员会同意、并得到国创中心终审委员会批准后方可执行；</w:t>
      </w:r>
    </w:p>
    <w:p w14:paraId="2CBFF6F3">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（五）课题申请得到批准后，申请者应与国创中心签订开放基金合同书，按合同计划进行工作，接受国创中心的检查和监督。课题执行期间，课题负责人或课题组成员应积极参加国创中心举办的国内外学术会议；</w:t>
      </w:r>
    </w:p>
    <w:p w14:paraId="4E5B2B19">
      <w:pPr>
        <w:spacing w:line="560" w:lineRule="exact"/>
        <w:ind w:firstLine="640" w:firstLineChars="200"/>
        <w:rPr>
          <w:rFonts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（六）课题研究成果所取得的论文、专利和奖励等所有权由国创中心和研究人员所在单位协商确定，成果鉴定和报奖由国创</w:t>
      </w:r>
      <w:r>
        <w:rPr>
          <w:rFonts w:hint="eastAsia" w:ascii="仿宋_GB2312" w:hAnsi="仿宋_GB2312" w:eastAsia="仿宋_GB2312" w:cs="仿宋_GB2312"/>
          <w:sz w:val="32"/>
          <w:szCs w:val="32"/>
          <w:highlight w:val="none"/>
          <w:lang w:eastAsia="zh-CN"/>
        </w:rPr>
        <w:t>中心与研究人员所在单位协商办理；</w:t>
      </w:r>
    </w:p>
    <w:p w14:paraId="1BD5CCBB">
      <w:pPr>
        <w:spacing w:line="560" w:lineRule="exact"/>
        <w:ind w:firstLine="640" w:firstLineChars="200"/>
        <w:rPr>
          <w:rFonts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（七）2025年项目申请受理时间为从本指南发布之日起至2025年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CN"/>
        </w:rPr>
        <w:t>日，逾期不予受理。</w:t>
      </w:r>
    </w:p>
    <w:p w14:paraId="32F11DB3">
      <w:pPr>
        <w:spacing w:line="560" w:lineRule="exact"/>
        <w:rPr>
          <w:rFonts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四、申请材料</w:t>
      </w:r>
    </w:p>
    <w:p w14:paraId="330A6E56">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（一）国家高性能医疗器械创新中心开放基金申请书纸质文件原件，并加盖单位公章及骑缝章；</w:t>
      </w:r>
    </w:p>
    <w:p w14:paraId="055C4A9C">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（二）涉及科研伦理和科技安全的项目，需提供国家有关法律法规和伦理准则要求的批准或备案文件</w:t>
      </w:r>
      <w:r>
        <w:rPr>
          <w:rFonts w:hint="eastAsia" w:ascii="仿宋_GB2312" w:hAnsi="仿宋_GB2312" w:eastAsia="仿宋_GB2312" w:cs="仿宋_GB2312"/>
          <w:sz w:val="32"/>
          <w:szCs w:val="32"/>
          <w:lang w:val="en-US" w:eastAsia="zh-CN"/>
        </w:rPr>
        <w:t>原</w:t>
      </w:r>
      <w:r>
        <w:rPr>
          <w:rFonts w:hint="eastAsia" w:ascii="仿宋_GB2312" w:hAnsi="仿宋_GB2312" w:eastAsia="仿宋_GB2312" w:cs="仿宋_GB2312"/>
          <w:sz w:val="32"/>
          <w:szCs w:val="32"/>
          <w:lang w:eastAsia="zh-CN"/>
        </w:rPr>
        <w:t>件；</w:t>
      </w:r>
    </w:p>
    <w:p w14:paraId="2EFFB526">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（三）提供项目申请人资格证明（学历学位证书、职称证书、发表论文首页）、查新报告、检测报告、获奖证书、国家省市立项计划文件等证明材料复印件；</w:t>
      </w:r>
    </w:p>
    <w:p w14:paraId="583452AC">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（四）知识产权合规性申明原件；</w:t>
      </w:r>
    </w:p>
    <w:p w14:paraId="13F157F6">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（五）科研诚信承诺书原件；</w:t>
      </w:r>
    </w:p>
    <w:p w14:paraId="5066B1BD">
      <w:pPr>
        <w:spacing w:line="560" w:lineRule="exact"/>
        <w:rPr>
          <w:rFonts w:ascii="黑体" w:hAnsi="黑体" w:eastAsia="黑体" w:cs="黑体"/>
          <w:sz w:val="32"/>
          <w:szCs w:val="32"/>
          <w:lang w:eastAsia="zh-CN"/>
        </w:rPr>
      </w:pPr>
      <w:r>
        <w:rPr>
          <w:rFonts w:hint="eastAsia" w:ascii="黑体" w:hAnsi="黑体" w:eastAsia="黑体" w:cs="黑体"/>
          <w:sz w:val="32"/>
          <w:szCs w:val="32"/>
          <w:lang w:eastAsia="zh-CN"/>
        </w:rPr>
        <w:t>五、受理信息</w:t>
      </w:r>
    </w:p>
    <w:p w14:paraId="7DC9184A">
      <w:pPr>
        <w:spacing w:line="560" w:lineRule="exact"/>
        <w:ind w:firstLine="640" w:firstLineChars="200"/>
        <w:rPr>
          <w:rFonts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（一）受</w:t>
      </w:r>
      <w:r>
        <w:rPr>
          <w:rFonts w:hint="eastAsia" w:ascii="仿宋_GB2312" w:hAnsi="仿宋_GB2312" w:eastAsia="仿宋_GB2312" w:cs="仿宋_GB2312"/>
          <w:sz w:val="32"/>
          <w:szCs w:val="32"/>
          <w:highlight w:val="none"/>
          <w:lang w:eastAsia="zh-CN"/>
        </w:rPr>
        <w:t>理单位：国家高性能医疗器械创新中心</w:t>
      </w:r>
    </w:p>
    <w:p w14:paraId="71C1AA7E">
      <w:pPr>
        <w:keepNext w:val="0"/>
        <w:keepLines w:val="0"/>
        <w:pageBreakBefore w:val="0"/>
        <w:widowControl/>
        <w:kinsoku/>
        <w:wordWrap/>
        <w:overflowPunct w:val="0"/>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（二）受理时间：2025年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日—2025年</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月</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CN"/>
        </w:rPr>
        <w:t>日</w:t>
      </w:r>
    </w:p>
    <w:p w14:paraId="0E16A7E3">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eastAsia="zh-CN"/>
        </w:rPr>
        <w:t>（注：受理时间截止后，不再受理提交项目的申请，请妥善安排时间，提前发送电子版进行审核，审核通过后，在截止</w:t>
      </w:r>
      <w:r>
        <w:rPr>
          <w:rFonts w:hint="eastAsia" w:ascii="仿宋_GB2312" w:hAnsi="仿宋_GB2312" w:eastAsia="仿宋_GB2312" w:cs="仿宋_GB2312"/>
          <w:sz w:val="32"/>
          <w:szCs w:val="32"/>
          <w:lang w:eastAsia="zh-CN"/>
        </w:rPr>
        <w:t>时间前寄送书面材料）</w:t>
      </w:r>
    </w:p>
    <w:p w14:paraId="78FE3781">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（三）书面材料寄送地点：广东省深圳市龙华区民治街道汇德大厦41层国家高性能医疗器械创新中心－科研任务部</w:t>
      </w:r>
    </w:p>
    <w:p w14:paraId="6181D391">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（四）联系方式：</w:t>
      </w:r>
    </w:p>
    <w:p w14:paraId="7296AA6E">
      <w:pPr>
        <w:spacing w:line="560" w:lineRule="exact"/>
        <w:ind w:firstLine="960" w:firstLineChars="3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姓名：李老师</w:t>
      </w:r>
    </w:p>
    <w:p w14:paraId="082E661C">
      <w:pPr>
        <w:spacing w:line="560" w:lineRule="exact"/>
        <w:ind w:firstLine="960" w:firstLineChars="3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r>
        <w:fldChar w:fldCharType="begin"/>
      </w:r>
      <w:r>
        <w:instrText xml:space="preserve"> HYPERLINK "mailto:ke.li@nmed.org.cn" </w:instrText>
      </w:r>
      <w:r>
        <w:fldChar w:fldCharType="separate"/>
      </w:r>
      <w:r>
        <w:rPr>
          <w:rFonts w:hint="eastAsia" w:ascii="仿宋_GB2312" w:hAnsi="仿宋_GB2312" w:eastAsia="仿宋_GB2312" w:cs="仿宋_GB2312"/>
          <w:sz w:val="32"/>
          <w:szCs w:val="32"/>
          <w:lang w:eastAsia="zh-CN"/>
        </w:rPr>
        <w:t>ke.li@nmed.org.cn</w:t>
      </w:r>
      <w:r>
        <w:rPr>
          <w:rFonts w:hint="eastAsia" w:ascii="仿宋_GB2312" w:hAnsi="仿宋_GB2312" w:eastAsia="仿宋_GB2312" w:cs="仿宋_GB2312"/>
          <w:sz w:val="32"/>
          <w:szCs w:val="32"/>
          <w:lang w:eastAsia="zh-CN"/>
        </w:rPr>
        <w:fldChar w:fldCharType="end"/>
      </w:r>
    </w:p>
    <w:p w14:paraId="40C27D21">
      <w:pPr>
        <w:spacing w:line="560" w:lineRule="exact"/>
        <w:ind w:firstLine="960" w:firstLineChars="3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电话：13510019066</w:t>
      </w:r>
    </w:p>
    <w:p w14:paraId="670B25E1">
      <w:pPr>
        <w:spacing w:line="560" w:lineRule="exact"/>
        <w:ind w:firstLine="643"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申请书要求：</w:t>
      </w:r>
      <w:r>
        <w:rPr>
          <w:rFonts w:hint="eastAsia" w:ascii="仿宋_GB2312" w:hAnsi="仿宋_GB2312" w:eastAsia="仿宋_GB2312" w:cs="仿宋_GB2312"/>
          <w:sz w:val="32"/>
          <w:szCs w:val="32"/>
          <w:lang w:eastAsia="zh-CN"/>
        </w:rPr>
        <w:t>纸质申请材料一式三份，A4纸正反面打印/复印，并加盖单位公章及骑缝章，按照本指南申请材料的排列次序对非空白页（含封面）需连续编写页码，胶装成册。</w:t>
      </w:r>
    </w:p>
    <w:p w14:paraId="5BE4461C">
      <w:pPr>
        <w:spacing w:line="560" w:lineRule="exact"/>
        <w:ind w:firstLine="643"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特别提醒：</w:t>
      </w:r>
      <w:r>
        <w:rPr>
          <w:rFonts w:hint="eastAsia" w:ascii="仿宋_GB2312" w:hAnsi="仿宋_GB2312" w:eastAsia="仿宋_GB2312" w:cs="仿宋_GB2312"/>
          <w:sz w:val="32"/>
          <w:szCs w:val="32"/>
          <w:lang w:eastAsia="zh-CN"/>
        </w:rPr>
        <w:t>申请人和申请单位对申请材料的合法性、真实性、准确性和完整性负责。申请材料的研究内容、项目组成员和拟取得的学术、技术及经济指标应科学合理，严谨规范，并作为项目评审、合同签订、过程管理、</w:t>
      </w:r>
      <w:bookmarkStart w:id="0" w:name="_GoBack"/>
      <w:bookmarkEnd w:id="0"/>
      <w:r>
        <w:rPr>
          <w:rFonts w:hint="eastAsia" w:ascii="仿宋_GB2312" w:hAnsi="仿宋_GB2312" w:eastAsia="仿宋_GB2312" w:cs="仿宋_GB2312"/>
          <w:sz w:val="32"/>
          <w:szCs w:val="32"/>
          <w:lang w:eastAsia="zh-CN"/>
        </w:rPr>
        <w:t>验收结题及项目评估的依据，原则上不予调整。项目一经立项，投入资金总额不予调整。</w:t>
      </w:r>
    </w:p>
    <w:p w14:paraId="6BDC9860">
      <w:pPr>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对抄袭剽窃或弄虚作假的，一经核实将不予立项或撤销项目，同时视情节轻重，依法依规追究相应责任。</w:t>
      </w:r>
    </w:p>
    <w:sectPr>
      <w:pgSz w:w="11907" w:h="16839"/>
      <w:pgMar w:top="2211" w:right="1474" w:bottom="1871" w:left="1587" w:header="0" w:footer="0" w:gutter="0"/>
      <w:cols w:space="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FA30AE"/>
    <w:rsid w:val="000171BB"/>
    <w:rsid w:val="00067E85"/>
    <w:rsid w:val="00123B8E"/>
    <w:rsid w:val="0029211B"/>
    <w:rsid w:val="002D38B1"/>
    <w:rsid w:val="00311BAA"/>
    <w:rsid w:val="003F02AD"/>
    <w:rsid w:val="004B56E5"/>
    <w:rsid w:val="00567BF9"/>
    <w:rsid w:val="005C44D2"/>
    <w:rsid w:val="0063558F"/>
    <w:rsid w:val="00C225BD"/>
    <w:rsid w:val="00D3154B"/>
    <w:rsid w:val="00D557A1"/>
    <w:rsid w:val="09126ABE"/>
    <w:rsid w:val="0C920564"/>
    <w:rsid w:val="198033E4"/>
    <w:rsid w:val="1ACB4B33"/>
    <w:rsid w:val="1E566BDB"/>
    <w:rsid w:val="1F3161C0"/>
    <w:rsid w:val="23632151"/>
    <w:rsid w:val="2D384E3C"/>
    <w:rsid w:val="3AFA30AE"/>
    <w:rsid w:val="4534164D"/>
    <w:rsid w:val="46DA06CE"/>
    <w:rsid w:val="573D72D1"/>
    <w:rsid w:val="60041838"/>
    <w:rsid w:val="6107169A"/>
    <w:rsid w:val="6217482C"/>
    <w:rsid w:val="64CB0FB5"/>
    <w:rsid w:val="78470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style>
  <w:style w:type="paragraph" w:styleId="3">
    <w:name w:val="Body Text"/>
    <w:basedOn w:val="1"/>
    <w:semiHidden/>
    <w:qFormat/>
    <w:uiPriority w:val="0"/>
    <w:rPr>
      <w:rFonts w:ascii="仿宋" w:hAnsi="仿宋" w:eastAsia="仿宋" w:cs="仿宋"/>
      <w:sz w:val="31"/>
      <w:szCs w:val="31"/>
    </w:rPr>
  </w:style>
  <w:style w:type="paragraph" w:styleId="4">
    <w:name w:val="Balloon Text"/>
    <w:basedOn w:val="1"/>
    <w:link w:val="11"/>
    <w:qFormat/>
    <w:uiPriority w:val="0"/>
    <w:rPr>
      <w:sz w:val="18"/>
      <w:szCs w:val="18"/>
    </w:rPr>
  </w:style>
  <w:style w:type="paragraph" w:styleId="5">
    <w:name w:val="footer"/>
    <w:basedOn w:val="1"/>
    <w:link w:val="15"/>
    <w:qFormat/>
    <w:uiPriority w:val="0"/>
    <w:pPr>
      <w:tabs>
        <w:tab w:val="center" w:pos="4153"/>
        <w:tab w:val="right" w:pos="8306"/>
      </w:tabs>
    </w:pPr>
    <w:rPr>
      <w:sz w:val="18"/>
      <w:szCs w:val="18"/>
    </w:rPr>
  </w:style>
  <w:style w:type="paragraph" w:styleId="6">
    <w:name w:val="header"/>
    <w:basedOn w:val="1"/>
    <w:link w:val="14"/>
    <w:qFormat/>
    <w:uiPriority w:val="0"/>
    <w:pPr>
      <w:pBdr>
        <w:bottom w:val="single" w:color="auto" w:sz="6" w:space="1"/>
      </w:pBdr>
      <w:tabs>
        <w:tab w:val="center" w:pos="4153"/>
        <w:tab w:val="right" w:pos="8306"/>
      </w:tabs>
      <w:jc w:val="center"/>
    </w:pPr>
    <w:rPr>
      <w:sz w:val="18"/>
      <w:szCs w:val="18"/>
    </w:rPr>
  </w:style>
  <w:style w:type="paragraph" w:styleId="7">
    <w:name w:val="annotation subject"/>
    <w:basedOn w:val="2"/>
    <w:next w:val="2"/>
    <w:link w:val="13"/>
    <w:qFormat/>
    <w:uiPriority w:val="0"/>
    <w:rPr>
      <w:b/>
      <w:bCs/>
    </w:rPr>
  </w:style>
  <w:style w:type="character" w:styleId="10">
    <w:name w:val="annotation reference"/>
    <w:basedOn w:val="9"/>
    <w:qFormat/>
    <w:uiPriority w:val="0"/>
    <w:rPr>
      <w:sz w:val="21"/>
      <w:szCs w:val="21"/>
    </w:rPr>
  </w:style>
  <w:style w:type="character" w:customStyle="1" w:styleId="11">
    <w:name w:val="批注框文本 字符"/>
    <w:basedOn w:val="9"/>
    <w:link w:val="4"/>
    <w:qFormat/>
    <w:uiPriority w:val="0"/>
    <w:rPr>
      <w:rFonts w:ascii="Arial" w:hAnsi="Arial" w:cs="Arial"/>
      <w:snapToGrid w:val="0"/>
      <w:color w:val="000000"/>
      <w:sz w:val="18"/>
      <w:szCs w:val="18"/>
      <w:lang w:eastAsia="en-US"/>
    </w:rPr>
  </w:style>
  <w:style w:type="character" w:customStyle="1" w:styleId="12">
    <w:name w:val="批注文字 字符"/>
    <w:basedOn w:val="9"/>
    <w:link w:val="2"/>
    <w:qFormat/>
    <w:uiPriority w:val="0"/>
    <w:rPr>
      <w:rFonts w:ascii="Arial" w:hAnsi="Arial" w:cs="Arial"/>
      <w:snapToGrid w:val="0"/>
      <w:color w:val="000000"/>
      <w:sz w:val="21"/>
      <w:szCs w:val="21"/>
      <w:lang w:eastAsia="en-US"/>
    </w:rPr>
  </w:style>
  <w:style w:type="character" w:customStyle="1" w:styleId="13">
    <w:name w:val="批注主题 字符"/>
    <w:basedOn w:val="12"/>
    <w:link w:val="7"/>
    <w:qFormat/>
    <w:uiPriority w:val="0"/>
    <w:rPr>
      <w:rFonts w:ascii="Arial" w:hAnsi="Arial" w:cs="Arial"/>
      <w:b/>
      <w:bCs/>
      <w:snapToGrid w:val="0"/>
      <w:color w:val="000000"/>
      <w:sz w:val="21"/>
      <w:szCs w:val="21"/>
      <w:lang w:eastAsia="en-US"/>
    </w:rPr>
  </w:style>
  <w:style w:type="character" w:customStyle="1" w:styleId="14">
    <w:name w:val="页眉 字符"/>
    <w:basedOn w:val="9"/>
    <w:link w:val="6"/>
    <w:qFormat/>
    <w:uiPriority w:val="0"/>
    <w:rPr>
      <w:rFonts w:ascii="Arial" w:hAnsi="Arial" w:cs="Arial"/>
      <w:snapToGrid w:val="0"/>
      <w:color w:val="000000"/>
      <w:sz w:val="18"/>
      <w:szCs w:val="18"/>
      <w:lang w:eastAsia="en-US"/>
    </w:rPr>
  </w:style>
  <w:style w:type="character" w:customStyle="1" w:styleId="15">
    <w:name w:val="页脚 字符"/>
    <w:basedOn w:val="9"/>
    <w:link w:val="5"/>
    <w:qFormat/>
    <w:uiPriority w:val="0"/>
    <w:rPr>
      <w:rFonts w:ascii="Arial" w:hAnsi="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1453</Words>
  <Characters>1503</Characters>
  <Lines>11</Lines>
  <Paragraphs>3</Paragraphs>
  <TotalTime>24</TotalTime>
  <ScaleCrop>false</ScaleCrop>
  <LinksUpToDate>false</LinksUpToDate>
  <CharactersWithSpaces>1503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2025-04-18T06:50:00Z</dcterms:created>
  <dc:creator>Elfinsword、</dc:creator>
  <cp:lastModifiedBy>Elfinsword、</cp:lastModifiedBy>
  <dcterms:modified xsi:type="dcterms:W3CDTF">2025-06-04T03:26:02Z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14B39D8C5CF34DA29E5889BED9DE2F7E_13</vt:lpwstr>
  </property>
  <property fmtid="{D5CDD505-2E9C-101B-9397-08002B2CF9AE}" pid="4" name="KSOTemplateDocerSaveRecord">
    <vt:lpwstr>eyJoZGlkIjoiNjU3NzY3ZDVhNmYxZDhkNDQ2NTlmZDhiM2QxMGFlODAiLCJ1c2VySWQiOiIzNTE1MjMxMzUifQ==</vt:lpwstr>
  </property>
</Properties>
</file>