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0B70C4">
      <w:pPr>
        <w:adjustRightInd w:val="0"/>
        <w:snapToGrid w:val="0"/>
        <w:spacing w:after="312" w:afterLines="100" w:line="560" w:lineRule="exact"/>
        <w:jc w:val="center"/>
        <w:outlineLvl w:val="0"/>
        <w:rPr>
          <w:rFonts w:ascii="黑体" w:hAnsi="黑体" w:eastAsia="黑体" w:cs="黑体"/>
          <w:b/>
          <w:bCs w:val="0"/>
          <w:sz w:val="32"/>
          <w:szCs w:val="32"/>
        </w:rPr>
      </w:pPr>
      <w:bookmarkStart w:id="0" w:name="OLE_LINK15"/>
      <w:bookmarkStart w:id="1" w:name="OLE_LINK14"/>
      <w:bookmarkStart w:id="2" w:name="OLE_LINK1"/>
      <w:bookmarkStart w:id="3" w:name="OLE_LINK2"/>
      <w:bookmarkStart w:id="4" w:name="OLE_LINK32"/>
      <w:bookmarkStart w:id="5" w:name="OLE_LINK33"/>
      <w:bookmarkStart w:id="6" w:name="OLE_LINK31"/>
      <w:bookmarkStart w:id="7" w:name="OLE_LINK30"/>
      <w:bookmarkStart w:id="8" w:name="OLE_LINK8"/>
      <w:bookmarkStart w:id="9" w:name="OLE_LINK7"/>
      <w:r>
        <w:rPr>
          <w:rFonts w:hint="eastAsia" w:ascii="黑体" w:hAnsi="黑体" w:eastAsia="黑体" w:cs="黑体"/>
          <w:b/>
          <w:sz w:val="32"/>
          <w:szCs w:val="32"/>
          <w:lang w:val="en-US" w:eastAsia="zh-CN"/>
        </w:rPr>
        <w:t>面</w:t>
      </w:r>
      <w:r>
        <w:rPr>
          <w:rFonts w:ascii="黑体" w:hAnsi="黑体" w:eastAsia="黑体" w:cs="黑体"/>
          <w:b/>
          <w:sz w:val="32"/>
          <w:szCs w:val="32"/>
        </w:rPr>
        <w:t>2025040</w:t>
      </w:r>
      <w:r>
        <w:rPr>
          <w:rFonts w:hint="eastAsia" w:ascii="黑体" w:hAnsi="黑体" w:eastAsia="黑体" w:cs="黑体"/>
          <w:b/>
          <w:sz w:val="32"/>
          <w:szCs w:val="32"/>
          <w:lang w:val="en-US" w:eastAsia="zh-CN"/>
        </w:rPr>
        <w:t>10</w:t>
      </w:r>
      <w:r>
        <w:rPr>
          <w:rFonts w:ascii="黑体" w:hAnsi="黑体" w:eastAsia="黑体" w:cs="黑体"/>
          <w:b/>
          <w:sz w:val="32"/>
          <w:szCs w:val="32"/>
        </w:rPr>
        <w:t xml:space="preserve"> </w:t>
      </w:r>
      <w:r>
        <w:rPr>
          <w:rFonts w:hint="eastAsia" w:ascii="黑体" w:hAnsi="黑体" w:eastAsia="黑体" w:cs="黑体"/>
          <w:b/>
          <w:bCs w:val="0"/>
          <w:sz w:val="32"/>
          <w:szCs w:val="32"/>
        </w:rPr>
        <w:t>血管内超声（</w:t>
      </w:r>
      <w:r>
        <w:rPr>
          <w:rFonts w:ascii="黑体" w:hAnsi="黑体" w:eastAsia="黑体" w:cs="黑体"/>
          <w:b/>
          <w:bCs w:val="0"/>
          <w:sz w:val="32"/>
          <w:szCs w:val="32"/>
        </w:rPr>
        <w:t>IVUS</w:t>
      </w:r>
      <w:r>
        <w:rPr>
          <w:rFonts w:hint="eastAsia" w:ascii="黑体" w:hAnsi="黑体" w:eastAsia="黑体" w:cs="黑体"/>
          <w:b/>
          <w:bCs w:val="0"/>
          <w:sz w:val="32"/>
          <w:szCs w:val="32"/>
        </w:rPr>
        <w:t>）联合血清标志物预警高危</w:t>
      </w:r>
      <w:r>
        <w:rPr>
          <w:rFonts w:ascii="黑体" w:hAnsi="黑体" w:eastAsia="黑体" w:cs="黑体"/>
          <w:b/>
          <w:bCs w:val="0"/>
          <w:sz w:val="32"/>
          <w:szCs w:val="32"/>
        </w:rPr>
        <w:t>PCI患者心房颤动研究</w:t>
      </w:r>
    </w:p>
    <w:p w14:paraId="48259601">
      <w:pPr>
        <w:pStyle w:val="10"/>
        <w:ind w:left="429" w:hanging="429" w:firstLineChars="0"/>
        <w:rPr>
          <w:rFonts w:ascii="仿宋_GB2312" w:hAnsi="仿宋_GB2312" w:eastAsia="仿宋_GB2312" w:cs="仿宋_GB2312"/>
          <w:sz w:val="32"/>
          <w:szCs w:val="32"/>
        </w:rPr>
      </w:pPr>
      <w:r>
        <w:rPr>
          <w:rFonts w:hint="eastAsia" w:ascii="黑体" w:hAnsi="黑体" w:eastAsia="黑体" w:cs="黑体"/>
          <w:sz w:val="32"/>
          <w:szCs w:val="32"/>
        </w:rPr>
        <w:t>一、领域：</w:t>
      </w:r>
      <w:r>
        <w:rPr>
          <w:rFonts w:hint="eastAsia" w:ascii="仿宋_GB2312" w:hAnsi="仿宋_GB2312" w:eastAsia="仿宋_GB2312" w:cs="仿宋_GB2312"/>
          <w:sz w:val="32"/>
          <w:szCs w:val="32"/>
        </w:rPr>
        <w:t>影像学</w:t>
      </w:r>
    </w:p>
    <w:p w14:paraId="7257302C">
      <w:pPr>
        <w:pStyle w:val="10"/>
        <w:ind w:left="429" w:hanging="429" w:firstLineChars="0"/>
        <w:rPr>
          <w:rFonts w:ascii="黑体" w:hAnsi="黑体" w:eastAsia="黑体" w:cs="黑体"/>
          <w:sz w:val="32"/>
          <w:szCs w:val="32"/>
        </w:rPr>
      </w:pPr>
      <w:r>
        <w:rPr>
          <w:rFonts w:hint="eastAsia" w:ascii="黑体" w:hAnsi="黑体" w:eastAsia="黑体" w:cs="黑体"/>
          <w:sz w:val="32"/>
          <w:szCs w:val="32"/>
        </w:rPr>
        <w:t>二、主要研究内容</w:t>
      </w:r>
    </w:p>
    <w:p w14:paraId="0EC51F44">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（一）基于高分辨率血管内超声（IVUS），开展复杂冠状动脉介入治疗（PCI）患者心房颤动发生风险的预测性临床研究，覆盖不同性别（成年男性、女性）及疾病类型（如多支血管病变、分叉病变等）；</w:t>
      </w:r>
    </w:p>
    <w:p w14:paraId="4AB5923B">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（二）验证血清标志物联合IVUS影像，评估TGF-β1 + α-SMA + CD31（下降） + Collagen I/III血清标志物和高分辨率IVUS检测发现血管内膜增厚患者房颤发生的概率。</w:t>
      </w:r>
    </w:p>
    <w:p w14:paraId="302EC7CA">
      <w:pPr>
        <w:pStyle w:val="10"/>
        <w:ind w:left="429" w:hanging="429" w:firstLineChars="0"/>
        <w:rPr>
          <w:rFonts w:ascii="黑体" w:hAnsi="黑体" w:eastAsia="黑体" w:cs="黑体"/>
          <w:sz w:val="32"/>
          <w:szCs w:val="32"/>
        </w:rPr>
      </w:pPr>
      <w:r>
        <w:rPr>
          <w:rFonts w:hint="eastAsia" w:ascii="黑体" w:hAnsi="黑体" w:eastAsia="黑体" w:cs="黑体"/>
          <w:sz w:val="32"/>
          <w:szCs w:val="32"/>
        </w:rPr>
        <w:t>三、项目考核指标（项目执行期内）</w:t>
      </w:r>
    </w:p>
    <w:p w14:paraId="2605519C">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1、完成≥100例多支血管病变患者的高分辨率（≥60MHz）IVUS影像数据采集，记录冠脉病变特征指标；检测冠脉内TGF-β1 + α-SMA + CD31（下降） + Collagen I/III血清标志物等；</w:t>
      </w:r>
    </w:p>
    <w:p w14:paraId="04F63D7A">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2、基于上述参数，建立复杂冠脉PCI患者的房颤风险预测模型；</w:t>
      </w:r>
    </w:p>
    <w:p w14:paraId="4F8466CC">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3、完成6个月随访，生成≥1份评估报告；</w:t>
      </w:r>
    </w:p>
    <w:p w14:paraId="561F6006">
      <w:pPr>
        <w:pStyle w:val="10"/>
        <w:ind w:firstLine="640"/>
        <w:rPr>
          <w:rFonts w:hint="eastAsia"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、发表学术论文≥1篇。</w:t>
      </w:r>
    </w:p>
    <w:p w14:paraId="490CFEE4">
      <w:pPr>
        <w:pStyle w:val="10"/>
        <w:ind w:left="429" w:hanging="429" w:firstLineChars="0"/>
        <w:rPr>
          <w:rFonts w:ascii="仿宋_GB2312" w:hAnsi="仿宋_GB2312" w:eastAsia="仿宋_GB2312" w:cs="仿宋_GB2312"/>
          <w:sz w:val="32"/>
          <w:szCs w:val="32"/>
        </w:rPr>
      </w:pPr>
      <w:r>
        <w:rPr>
          <w:rFonts w:hint="eastAsia" w:ascii="黑体" w:hAnsi="黑体" w:eastAsia="黑体" w:cs="黑体"/>
          <w:sz w:val="32"/>
          <w:szCs w:val="32"/>
        </w:rPr>
        <w:t>四、项目实施年限：</w:t>
      </w:r>
      <w:r>
        <w:rPr>
          <w:rFonts w:hint="eastAsia" w:ascii="仿宋_GB2312" w:hAnsi="仿宋_GB2312" w:eastAsia="仿宋_GB2312" w:cs="仿宋_GB2312"/>
          <w:sz w:val="32"/>
          <w:szCs w:val="32"/>
        </w:rPr>
        <w:t>2年</w:t>
      </w:r>
    </w:p>
    <w:p w14:paraId="427023DC">
      <w:pPr>
        <w:pStyle w:val="10"/>
        <w:ind w:left="429" w:hanging="429" w:firstLineChars="0"/>
        <w:rPr>
          <w:rFonts w:ascii="仿宋_GB2312" w:hAnsi="仿宋_GB2312" w:eastAsia="仿宋_GB2312" w:cs="仿宋_GB2312"/>
          <w:sz w:val="32"/>
          <w:szCs w:val="32"/>
        </w:rPr>
      </w:pPr>
      <w:r>
        <w:rPr>
          <w:rFonts w:hint="eastAsia" w:ascii="黑体" w:hAnsi="黑体" w:eastAsia="黑体" w:cs="黑体"/>
          <w:sz w:val="32"/>
          <w:szCs w:val="32"/>
        </w:rPr>
        <w:t>五、资助金额：</w:t>
      </w:r>
      <w:r>
        <w:rPr>
          <w:rFonts w:hint="eastAsia" w:ascii="仿宋_GB2312" w:hAnsi="仿宋_GB2312" w:eastAsia="仿宋_GB2312" w:cs="仿宋_GB2312"/>
          <w:sz w:val="32"/>
          <w:szCs w:val="32"/>
        </w:rPr>
        <w:t>不超过20万元</w:t>
      </w:r>
    </w:p>
    <w:p w14:paraId="039C7EB2">
      <w:pPr>
        <w:spacing w:line="36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br w:type="page"/>
      </w:r>
    </w:p>
    <w:p w14:paraId="787705EF">
      <w:pPr>
        <w:adjustRightInd w:val="0"/>
        <w:snapToGrid w:val="0"/>
        <w:spacing w:after="312" w:afterLines="100" w:line="560" w:lineRule="exact"/>
        <w:jc w:val="center"/>
        <w:outlineLvl w:val="0"/>
        <w:rPr>
          <w:rFonts w:ascii="黑体" w:hAnsi="黑体" w:eastAsia="黑体" w:cs="黑体"/>
          <w:b/>
          <w:bCs w:val="0"/>
          <w:sz w:val="32"/>
          <w:szCs w:val="32"/>
        </w:rPr>
      </w:pPr>
      <w:bookmarkStart w:id="10" w:name="OLE_LINK5"/>
      <w:bookmarkStart w:id="11" w:name="OLE_LINK6"/>
      <w:r>
        <w:rPr>
          <w:rFonts w:hint="eastAsia" w:ascii="黑体" w:hAnsi="黑体" w:eastAsia="黑体" w:cs="黑体"/>
          <w:b/>
          <w:sz w:val="32"/>
          <w:szCs w:val="32"/>
          <w:lang w:val="en-US" w:eastAsia="zh-CN"/>
        </w:rPr>
        <w:t>面</w:t>
      </w:r>
      <w:r>
        <w:rPr>
          <w:rFonts w:ascii="黑体" w:hAnsi="黑体" w:eastAsia="黑体" w:cs="黑体"/>
          <w:b/>
          <w:sz w:val="32"/>
          <w:szCs w:val="32"/>
        </w:rPr>
        <w:t>2025040</w:t>
      </w:r>
      <w:r>
        <w:rPr>
          <w:rFonts w:hint="eastAsia" w:ascii="黑体" w:hAnsi="黑体" w:eastAsia="黑体" w:cs="黑体"/>
          <w:b/>
          <w:sz w:val="32"/>
          <w:szCs w:val="32"/>
          <w:lang w:val="en-US" w:eastAsia="zh-CN"/>
        </w:rPr>
        <w:t>11</w:t>
      </w:r>
      <w:r>
        <w:rPr>
          <w:rFonts w:ascii="黑体" w:hAnsi="黑体" w:eastAsia="黑体" w:cs="黑体"/>
          <w:b/>
          <w:sz w:val="32"/>
          <w:szCs w:val="32"/>
        </w:rPr>
        <w:t xml:space="preserve"> </w:t>
      </w:r>
      <w:r>
        <w:rPr>
          <w:rFonts w:hint="eastAsia" w:ascii="黑体" w:hAnsi="黑体" w:eastAsia="黑体" w:cs="黑体"/>
          <w:b/>
          <w:bCs w:val="0"/>
          <w:sz w:val="32"/>
          <w:szCs w:val="32"/>
        </w:rPr>
        <w:t>基于造影融合优化血管内超声（</w:t>
      </w:r>
      <w:r>
        <w:rPr>
          <w:rFonts w:ascii="黑体" w:hAnsi="黑体" w:eastAsia="黑体" w:cs="黑体"/>
          <w:b/>
          <w:bCs w:val="0"/>
          <w:sz w:val="32"/>
          <w:szCs w:val="32"/>
        </w:rPr>
        <w:t>IVUS）的有效性研究</w:t>
      </w:r>
      <w:bookmarkStart w:id="32" w:name="_GoBack"/>
      <w:bookmarkEnd w:id="32"/>
    </w:p>
    <w:bookmarkEnd w:id="10"/>
    <w:bookmarkEnd w:id="11"/>
    <w:p w14:paraId="1936C7B0">
      <w:pPr>
        <w:pStyle w:val="10"/>
        <w:ind w:left="429" w:hanging="429" w:firstLineChars="0"/>
        <w:rPr>
          <w:rFonts w:ascii="仿宋_GB2312" w:hAnsi="仿宋_GB2312" w:eastAsia="仿宋_GB2312" w:cs="仿宋_GB2312"/>
          <w:sz w:val="32"/>
          <w:szCs w:val="32"/>
        </w:rPr>
      </w:pPr>
      <w:r>
        <w:rPr>
          <w:rFonts w:hint="eastAsia" w:ascii="黑体" w:hAnsi="黑体" w:eastAsia="黑体" w:cs="黑体"/>
          <w:sz w:val="32"/>
          <w:szCs w:val="32"/>
        </w:rPr>
        <w:t>一、领域：</w:t>
      </w:r>
      <w:r>
        <w:rPr>
          <w:rFonts w:hint="eastAsia" w:ascii="仿宋_GB2312" w:hAnsi="仿宋_GB2312" w:eastAsia="仿宋_GB2312" w:cs="仿宋_GB2312"/>
          <w:sz w:val="32"/>
          <w:szCs w:val="32"/>
        </w:rPr>
        <w:t>影像学</w:t>
      </w:r>
    </w:p>
    <w:p w14:paraId="5082836A">
      <w:pPr>
        <w:pStyle w:val="10"/>
        <w:ind w:left="429" w:hanging="429" w:firstLineChars="0"/>
        <w:rPr>
          <w:rFonts w:ascii="黑体" w:hAnsi="黑体" w:eastAsia="黑体" w:cs="黑体"/>
          <w:sz w:val="32"/>
          <w:szCs w:val="32"/>
        </w:rPr>
      </w:pPr>
      <w:r>
        <w:rPr>
          <w:rFonts w:hint="eastAsia" w:ascii="黑体" w:hAnsi="黑体" w:eastAsia="黑体" w:cs="黑体"/>
          <w:sz w:val="32"/>
          <w:szCs w:val="32"/>
        </w:rPr>
        <w:t>二、主要研究内容</w:t>
      </w:r>
    </w:p>
    <w:p w14:paraId="56DC6D9F">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（一）基于自动化算法及造影融合功能的血管内超声（IVUS）技术，开展冠状动脉介入诊疗（PCI）的术中指导研究，优化支架/药球植入策略；</w:t>
      </w:r>
    </w:p>
    <w:p w14:paraId="0B471CF1">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（二）对比基于自动化算法的测量与传统人工测量IVUS图像的管腔面积、斑块负荷等核心参数的精准性；</w:t>
      </w:r>
    </w:p>
    <w:p w14:paraId="0C729B70">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（三）建立基于造影融合IVUS图像指导下PCI手术标准化操作流程，涵盖特殊病变处理方法及注意事项。</w:t>
      </w:r>
    </w:p>
    <w:p w14:paraId="49EF3FEB">
      <w:pPr>
        <w:pStyle w:val="10"/>
        <w:ind w:left="429" w:hanging="429" w:firstLineChars="0"/>
        <w:rPr>
          <w:rFonts w:ascii="黑体" w:hAnsi="黑体" w:eastAsia="黑体" w:cs="黑体"/>
          <w:sz w:val="32"/>
          <w:szCs w:val="32"/>
        </w:rPr>
      </w:pPr>
      <w:r>
        <w:rPr>
          <w:rFonts w:hint="eastAsia" w:ascii="黑体" w:hAnsi="黑体" w:eastAsia="黑体" w:cs="黑体"/>
          <w:sz w:val="32"/>
          <w:szCs w:val="32"/>
        </w:rPr>
        <w:t>三、项目考核指标（项目执行期内）</w:t>
      </w:r>
    </w:p>
    <w:p w14:paraId="303D8CB4">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1、建立基于造影融合IVUS指导下PCI标准化手术操作流程，形成技术规范文档，在≥两家中心进行应用示范；</w:t>
      </w:r>
    </w:p>
    <w:p w14:paraId="394727CF">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2、完成≥100例患者的基于自动化算法及造影融合功能的IVUS影像数据收集，每例数据需记录以下指标：手术时间、IVUS测量时间、管腔面积、斑块负荷；验证其相对传统方法的有效性，生成≥1份评估报告。</w:t>
      </w:r>
    </w:p>
    <w:p w14:paraId="160FADA7">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3、发表学术论文≥1篇。</w:t>
      </w:r>
    </w:p>
    <w:p w14:paraId="1DB9F60B">
      <w:pPr>
        <w:pStyle w:val="10"/>
        <w:ind w:left="429" w:hanging="429" w:firstLineChars="0"/>
        <w:rPr>
          <w:rFonts w:ascii="仿宋_GB2312" w:hAnsi="仿宋_GB2312" w:eastAsia="仿宋_GB2312" w:cs="仿宋_GB2312"/>
          <w:sz w:val="32"/>
          <w:szCs w:val="32"/>
        </w:rPr>
      </w:pPr>
      <w:r>
        <w:rPr>
          <w:rFonts w:hint="eastAsia" w:ascii="黑体" w:hAnsi="黑体" w:eastAsia="黑体" w:cs="黑体"/>
          <w:sz w:val="32"/>
          <w:szCs w:val="32"/>
        </w:rPr>
        <w:t>四、项目实施年限：</w:t>
      </w:r>
      <w:r>
        <w:rPr>
          <w:rFonts w:hint="eastAsia" w:ascii="仿宋_GB2312" w:hAnsi="仿宋_GB2312" w:eastAsia="仿宋_GB2312" w:cs="仿宋_GB2312"/>
          <w:sz w:val="32"/>
          <w:szCs w:val="32"/>
        </w:rPr>
        <w:t>2年</w:t>
      </w:r>
    </w:p>
    <w:p w14:paraId="4C23B2CD">
      <w:pPr>
        <w:pStyle w:val="10"/>
        <w:ind w:left="429" w:hanging="429" w:firstLineChars="0"/>
        <w:rPr>
          <w:rFonts w:ascii="仿宋_GB2312" w:hAnsi="仿宋_GB2312" w:eastAsia="仿宋_GB2312" w:cs="仿宋_GB2312"/>
          <w:sz w:val="32"/>
          <w:szCs w:val="32"/>
        </w:rPr>
      </w:pPr>
      <w:r>
        <w:rPr>
          <w:rFonts w:hint="eastAsia" w:ascii="黑体" w:hAnsi="黑体" w:eastAsia="黑体" w:cs="黑体"/>
          <w:sz w:val="32"/>
          <w:szCs w:val="32"/>
        </w:rPr>
        <w:t>五、资助金额：</w:t>
      </w:r>
      <w:r>
        <w:rPr>
          <w:rFonts w:hint="eastAsia" w:ascii="仿宋_GB2312" w:hAnsi="仿宋_GB2312" w:eastAsia="仿宋_GB2312" w:cs="仿宋_GB2312"/>
          <w:sz w:val="32"/>
          <w:szCs w:val="32"/>
        </w:rPr>
        <w:t>不超过20万元</w:t>
      </w:r>
    </w:p>
    <w:p w14:paraId="24226A5A">
      <w:pPr>
        <w:pStyle w:val="10"/>
        <w:ind w:left="429" w:hanging="429"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47EC2E46">
      <w:pPr>
        <w:adjustRightInd w:val="0"/>
        <w:snapToGrid w:val="0"/>
        <w:spacing w:after="312" w:afterLines="100" w:line="560" w:lineRule="exact"/>
        <w:jc w:val="center"/>
        <w:outlineLvl w:val="0"/>
        <w:rPr>
          <w:rFonts w:ascii="黑体" w:hAnsi="黑体" w:eastAsia="黑体" w:cs="黑体"/>
          <w:b/>
          <w:bCs w:val="0"/>
          <w:sz w:val="32"/>
          <w:szCs w:val="32"/>
        </w:rPr>
      </w:pPr>
      <w:bookmarkStart w:id="12" w:name="OLE_LINK9"/>
      <w:bookmarkStart w:id="13" w:name="OLE_LINK10"/>
      <w:bookmarkStart w:id="14" w:name="OLE_LINK25"/>
      <w:bookmarkStart w:id="15" w:name="OLE_LINK24"/>
      <w:r>
        <w:rPr>
          <w:rFonts w:hint="eastAsia" w:ascii="黑体" w:hAnsi="黑体" w:eastAsia="黑体" w:cs="黑体"/>
          <w:b/>
          <w:sz w:val="32"/>
          <w:szCs w:val="32"/>
          <w:lang w:val="en-US" w:eastAsia="zh-CN"/>
        </w:rPr>
        <w:t>面</w:t>
      </w:r>
      <w:r>
        <w:rPr>
          <w:rFonts w:ascii="黑体" w:hAnsi="黑体" w:eastAsia="黑体" w:cs="黑体"/>
          <w:b/>
          <w:sz w:val="32"/>
          <w:szCs w:val="32"/>
        </w:rPr>
        <w:t>2025040</w:t>
      </w:r>
      <w:r>
        <w:rPr>
          <w:rFonts w:hint="eastAsia" w:ascii="黑体" w:hAnsi="黑体" w:eastAsia="黑体" w:cs="黑体"/>
          <w:b/>
          <w:sz w:val="32"/>
          <w:szCs w:val="32"/>
          <w:lang w:val="en-US" w:eastAsia="zh-CN"/>
        </w:rPr>
        <w:t>12</w:t>
      </w:r>
      <w:r>
        <w:rPr>
          <w:rFonts w:ascii="黑体" w:hAnsi="黑体" w:eastAsia="黑体" w:cs="黑体"/>
          <w:b/>
          <w:sz w:val="32"/>
          <w:szCs w:val="32"/>
        </w:rPr>
        <w:t xml:space="preserve"> </w:t>
      </w:r>
      <w:r>
        <w:rPr>
          <w:rFonts w:hint="eastAsia" w:ascii="黑体" w:hAnsi="黑体" w:eastAsia="黑体" w:cs="黑体"/>
          <w:b/>
          <w:bCs w:val="0"/>
          <w:sz w:val="32"/>
          <w:szCs w:val="32"/>
        </w:rPr>
        <w:t>冠脉支架内再狭窄的抗炎治疗策略研究</w:t>
      </w:r>
    </w:p>
    <w:bookmarkEnd w:id="12"/>
    <w:bookmarkEnd w:id="13"/>
    <w:p w14:paraId="14C7177C">
      <w:pPr>
        <w:pStyle w:val="10"/>
        <w:ind w:left="429" w:hanging="429" w:firstLineChars="0"/>
        <w:rPr>
          <w:rFonts w:ascii="仿宋_GB2312" w:hAnsi="仿宋_GB2312" w:eastAsia="仿宋_GB2312" w:cs="仿宋_GB2312"/>
          <w:sz w:val="32"/>
          <w:szCs w:val="32"/>
        </w:rPr>
      </w:pPr>
      <w:r>
        <w:rPr>
          <w:rFonts w:hint="eastAsia" w:ascii="黑体" w:hAnsi="黑体" w:eastAsia="黑体" w:cs="黑体"/>
          <w:sz w:val="32"/>
          <w:szCs w:val="32"/>
        </w:rPr>
        <w:t>一、领域：</w:t>
      </w:r>
      <w:r>
        <w:rPr>
          <w:rFonts w:hint="eastAsia" w:ascii="仿宋_GB2312" w:hAnsi="仿宋_GB2312" w:eastAsia="仿宋_GB2312" w:cs="仿宋_GB2312"/>
          <w:sz w:val="32"/>
          <w:szCs w:val="32"/>
        </w:rPr>
        <w:t>影像学</w:t>
      </w:r>
    </w:p>
    <w:p w14:paraId="3169F6F2">
      <w:pPr>
        <w:pStyle w:val="10"/>
        <w:ind w:left="429" w:hanging="429" w:firstLineChars="0"/>
        <w:rPr>
          <w:rFonts w:ascii="黑体" w:hAnsi="黑体" w:eastAsia="黑体" w:cs="黑体"/>
          <w:sz w:val="32"/>
          <w:szCs w:val="32"/>
        </w:rPr>
      </w:pPr>
      <w:r>
        <w:rPr>
          <w:rFonts w:hint="eastAsia" w:ascii="黑体" w:hAnsi="黑体" w:eastAsia="黑体" w:cs="黑体"/>
          <w:sz w:val="32"/>
          <w:szCs w:val="32"/>
        </w:rPr>
        <w:t>二、主要研究内容</w:t>
      </w:r>
    </w:p>
    <w:p w14:paraId="484A84CE">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（一）开展前瞻性、随机对照，探索秋水仙碱联合药物球囊对ISR的协同效应，评估其在降低再狭窄率、靶病变血运重建率及主要心血管事件中的作用；</w:t>
      </w:r>
    </w:p>
    <w:p w14:paraId="78B8029A">
      <w:pPr>
        <w:pStyle w:val="10"/>
        <w:ind w:firstLine="640"/>
        <w:rPr>
          <w:rFonts w:ascii="仿宋_GB2312" w:hAnsi="仿宋_GB2312" w:eastAsia="仿宋_GB2312" w:cs="仿宋_GB2312"/>
          <w:sz w:val="32"/>
          <w:szCs w:val="32"/>
        </w:rPr>
      </w:pPr>
      <w:bookmarkStart w:id="16" w:name="OLE_LINK19"/>
      <w:bookmarkStart w:id="17" w:name="OLE_LINK18"/>
      <w:r>
        <w:rPr>
          <w:rFonts w:hint="eastAsia" w:ascii="仿宋_GB2312" w:hAnsi="仿宋_GB2312" w:eastAsia="仿宋_GB2312" w:cs="仿宋_GB2312"/>
          <w:sz w:val="32"/>
          <w:szCs w:val="32"/>
        </w:rPr>
        <w:t>（二）基于血管内超声（IVUS）</w:t>
      </w:r>
      <w:bookmarkEnd w:id="16"/>
      <w:bookmarkEnd w:id="17"/>
      <w:r>
        <w:rPr>
          <w:rFonts w:hint="eastAsia" w:ascii="仿宋_GB2312" w:hAnsi="仿宋_GB2312" w:eastAsia="仿宋_GB2312" w:cs="仿宋_GB2312"/>
          <w:sz w:val="32"/>
          <w:szCs w:val="32"/>
        </w:rPr>
        <w:t>，探索联合治疗前后ISR的腔内影像学特征；</w:t>
      </w:r>
    </w:p>
    <w:p w14:paraId="7482640C">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（三）探索</w:t>
      </w:r>
      <w:bookmarkStart w:id="18" w:name="OLE_LINK22"/>
      <w:bookmarkStart w:id="19" w:name="OLE_LINK23"/>
      <w:r>
        <w:rPr>
          <w:rFonts w:hint="eastAsia" w:ascii="仿宋_GB2312" w:hAnsi="仿宋_GB2312" w:eastAsia="仿宋_GB2312" w:cs="仿宋_GB2312"/>
          <w:sz w:val="32"/>
          <w:szCs w:val="32"/>
        </w:rPr>
        <w:t>秋水仙碱抑制ISR的分子机制</w:t>
      </w:r>
      <w:bookmarkEnd w:id="18"/>
      <w:bookmarkEnd w:id="19"/>
      <w:r>
        <w:rPr>
          <w:rFonts w:hint="eastAsia" w:ascii="仿宋_GB2312" w:hAnsi="仿宋_GB2312" w:eastAsia="仿宋_GB2312" w:cs="仿宋_GB2312"/>
          <w:sz w:val="32"/>
          <w:szCs w:val="32"/>
        </w:rPr>
        <w:t>，明确秋水仙碱调控炎症通路对ISR病例进程的干预作用，尤其对平滑肌细胞迁移、内膜增生和新生动脉粥样硬化的影响。</w:t>
      </w:r>
    </w:p>
    <w:p w14:paraId="65046D2A">
      <w:pPr>
        <w:pStyle w:val="10"/>
        <w:ind w:left="429" w:hanging="429" w:firstLineChars="0"/>
        <w:rPr>
          <w:rFonts w:ascii="黑体" w:hAnsi="黑体" w:eastAsia="黑体" w:cs="黑体"/>
          <w:sz w:val="32"/>
          <w:szCs w:val="32"/>
        </w:rPr>
      </w:pPr>
      <w:r>
        <w:rPr>
          <w:rFonts w:hint="eastAsia" w:ascii="黑体" w:hAnsi="黑体" w:eastAsia="黑体" w:cs="黑体"/>
          <w:sz w:val="32"/>
          <w:szCs w:val="32"/>
        </w:rPr>
        <w:t>三、项目考核指标（项目执行期内）</w:t>
      </w:r>
    </w:p>
    <w:p w14:paraId="5B52375A">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1、完成≥50例ISR患者入组，入组病例需为经腔内影像学证实的增生型或新生动脉粥样硬化型ISR患者，记录支架内新生膜内增生厚度、斑块成分等指标，生成≥1份评估报告。</w:t>
      </w:r>
    </w:p>
    <w:p w14:paraId="0C270616">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2、入组患者随访1年后需经腔内影像学复查上述指标，定量评估秋水仙碱的治疗效果，明确抗炎、抗增殖作用的影像学标志物。</w:t>
      </w:r>
    </w:p>
    <w:p w14:paraId="471D2684">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3、发表学术论文≥1篇。</w:t>
      </w:r>
    </w:p>
    <w:p w14:paraId="73EBD875">
      <w:pPr>
        <w:pStyle w:val="10"/>
        <w:ind w:left="429" w:hanging="429" w:firstLineChars="0"/>
        <w:rPr>
          <w:rFonts w:ascii="仿宋_GB2312" w:hAnsi="仿宋_GB2312" w:eastAsia="仿宋_GB2312" w:cs="仿宋_GB2312"/>
          <w:sz w:val="32"/>
          <w:szCs w:val="32"/>
        </w:rPr>
      </w:pPr>
      <w:r>
        <w:rPr>
          <w:rFonts w:hint="eastAsia" w:ascii="黑体" w:hAnsi="黑体" w:eastAsia="黑体" w:cs="黑体"/>
          <w:sz w:val="32"/>
          <w:szCs w:val="32"/>
        </w:rPr>
        <w:t>四、项目实施年限：</w:t>
      </w:r>
      <w:r>
        <w:rPr>
          <w:rFonts w:hint="eastAsia" w:ascii="仿宋_GB2312" w:hAnsi="仿宋_GB2312" w:eastAsia="仿宋_GB2312" w:cs="仿宋_GB2312"/>
          <w:sz w:val="32"/>
          <w:szCs w:val="32"/>
        </w:rPr>
        <w:t>2年</w:t>
      </w:r>
    </w:p>
    <w:p w14:paraId="5F96BF62">
      <w:pPr>
        <w:pStyle w:val="10"/>
        <w:ind w:left="429" w:hanging="429" w:firstLineChars="0"/>
        <w:rPr>
          <w:rFonts w:ascii="仿宋_GB2312" w:hAnsi="仿宋_GB2312" w:eastAsia="仿宋_GB2312" w:cs="仿宋_GB2312"/>
          <w:color w:val="000000"/>
          <w:sz w:val="32"/>
          <w:szCs w:val="32"/>
        </w:rPr>
      </w:pPr>
      <w:r>
        <w:rPr>
          <w:rFonts w:hint="eastAsia" w:ascii="黑体" w:hAnsi="黑体" w:eastAsia="黑体" w:cs="黑体"/>
          <w:sz w:val="32"/>
          <w:szCs w:val="32"/>
        </w:rPr>
        <w:t>五、资助金额：</w:t>
      </w:r>
      <w:r>
        <w:rPr>
          <w:rFonts w:hint="eastAsia" w:ascii="仿宋_GB2312" w:hAnsi="仿宋_GB2312" w:eastAsia="仿宋_GB2312" w:cs="仿宋_GB2312"/>
          <w:sz w:val="32"/>
          <w:szCs w:val="32"/>
        </w:rPr>
        <w:t>不超过20万元</w:t>
      </w:r>
      <w:bookmarkEnd w:id="14"/>
      <w:bookmarkEnd w:id="15"/>
    </w:p>
    <w:p w14:paraId="57AAF14B">
      <w:pPr>
        <w:adjustRightInd w:val="0"/>
        <w:snapToGrid w:val="0"/>
        <w:spacing w:after="312" w:afterLines="100" w:line="560" w:lineRule="exact"/>
        <w:jc w:val="center"/>
        <w:outlineLvl w:val="0"/>
        <w:rPr>
          <w:rFonts w:ascii="黑体" w:hAnsi="黑体" w:eastAsia="黑体" w:cs="黑体"/>
          <w:b/>
          <w:bCs w:val="0"/>
          <w:sz w:val="32"/>
          <w:szCs w:val="32"/>
        </w:rPr>
      </w:pPr>
      <w:r>
        <w:rPr>
          <w:rFonts w:hint="eastAsia" w:ascii="黑体" w:hAnsi="黑体" w:eastAsia="黑体" w:cs="黑体"/>
          <w:b/>
          <w:sz w:val="32"/>
          <w:szCs w:val="32"/>
          <w:lang w:val="en-US" w:eastAsia="zh-CN"/>
        </w:rPr>
        <w:t>面</w:t>
      </w:r>
      <w:r>
        <w:rPr>
          <w:rFonts w:ascii="黑体" w:hAnsi="黑体" w:eastAsia="黑体" w:cs="黑体"/>
          <w:b/>
          <w:sz w:val="32"/>
          <w:szCs w:val="32"/>
        </w:rPr>
        <w:t>2025040</w:t>
      </w:r>
      <w:r>
        <w:rPr>
          <w:rFonts w:hint="eastAsia" w:ascii="黑体" w:hAnsi="黑体" w:eastAsia="黑体" w:cs="黑体"/>
          <w:b/>
          <w:sz w:val="32"/>
          <w:szCs w:val="32"/>
          <w:lang w:val="en-US" w:eastAsia="zh-CN"/>
        </w:rPr>
        <w:t>13</w:t>
      </w:r>
      <w:r>
        <w:rPr>
          <w:rFonts w:ascii="黑体" w:hAnsi="黑体" w:eastAsia="黑体" w:cs="黑体"/>
          <w:b/>
          <w:bCs w:val="0"/>
          <w:sz w:val="32"/>
          <w:szCs w:val="32"/>
        </w:rPr>
        <w:t xml:space="preserve"> </w:t>
      </w:r>
      <w:r>
        <w:rPr>
          <w:rFonts w:hint="eastAsia" w:ascii="黑体" w:hAnsi="黑体" w:eastAsia="黑体" w:cs="黑体"/>
          <w:b/>
          <w:bCs w:val="0"/>
          <w:sz w:val="32"/>
          <w:szCs w:val="32"/>
        </w:rPr>
        <w:t>基于深度学习的</w:t>
      </w:r>
      <w:r>
        <w:rPr>
          <w:rFonts w:ascii="黑体" w:hAnsi="黑体" w:eastAsia="黑体" w:cs="黑体"/>
          <w:b/>
          <w:bCs w:val="0"/>
          <w:sz w:val="32"/>
          <w:szCs w:val="32"/>
        </w:rPr>
        <w:t>IVUS影像血管病变自动检测及优化PCI策略研究</w:t>
      </w:r>
    </w:p>
    <w:p w14:paraId="60B8C546">
      <w:pPr>
        <w:pStyle w:val="10"/>
        <w:ind w:left="429" w:hanging="429" w:firstLineChars="0"/>
        <w:rPr>
          <w:rFonts w:ascii="仿宋_GB2312" w:hAnsi="仿宋_GB2312" w:eastAsia="仿宋_GB2312" w:cs="仿宋_GB2312"/>
          <w:sz w:val="32"/>
          <w:szCs w:val="32"/>
        </w:rPr>
      </w:pPr>
      <w:r>
        <w:rPr>
          <w:rFonts w:hint="eastAsia" w:ascii="黑体" w:hAnsi="黑体" w:eastAsia="黑体" w:cs="黑体"/>
          <w:sz w:val="32"/>
          <w:szCs w:val="32"/>
        </w:rPr>
        <w:t>一、领域：</w:t>
      </w:r>
      <w:r>
        <w:rPr>
          <w:rFonts w:hint="eastAsia" w:ascii="仿宋_GB2312" w:hAnsi="仿宋_GB2312" w:eastAsia="仿宋_GB2312" w:cs="仿宋_GB2312"/>
          <w:sz w:val="32"/>
          <w:szCs w:val="32"/>
        </w:rPr>
        <w:t>影像学</w:t>
      </w:r>
    </w:p>
    <w:p w14:paraId="0F2CCFB4">
      <w:pPr>
        <w:rPr>
          <w:rFonts w:ascii="黑体" w:hAnsi="黑体" w:eastAsia="黑体" w:cs="黑体"/>
          <w:sz w:val="32"/>
          <w:szCs w:val="32"/>
        </w:rPr>
      </w:pPr>
      <w:r>
        <w:rPr>
          <w:rFonts w:hint="eastAsia" w:ascii="黑体" w:hAnsi="黑体" w:eastAsia="黑体" w:cs="黑体"/>
          <w:sz w:val="32"/>
          <w:szCs w:val="32"/>
        </w:rPr>
        <w:t>二、主要研究内容</w:t>
      </w:r>
    </w:p>
    <w:p w14:paraId="529BBB6D">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（一）构建基于U-Net与Transformer的深度学习模型，实现血管内超声（IVUS）影像中管腔、斑块、钙化及支架结构的全自动分割与分类，提升图像解读效率与准确性；</w:t>
      </w:r>
    </w:p>
    <w:p w14:paraId="5212AD5E">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（二）开发多模态影像融合框架（整合冠脉造影CAG、血流储备分数FFR等），提升对复杂病变的识别能力及功能性狭窄评估；</w:t>
      </w:r>
    </w:p>
    <w:p w14:paraId="6919C73B">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（三）开发AI辅助PCI决策系统，实现支架尺寸选择、植入位置及扩张策略推荐模型，结合患者术后数据进行支架内再狭窄（ISR）风险预测，形成动态优化方案；</w:t>
      </w:r>
    </w:p>
    <w:p w14:paraId="4BA548DC">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（四）开展临床验证与应用评估，对比AI辅助PCI与传统方案，评估在术中、术后ISR率、并发症发生率等方面的改善情况。</w:t>
      </w:r>
    </w:p>
    <w:p w14:paraId="4140777B">
      <w:pPr>
        <w:rPr>
          <w:rFonts w:ascii="黑体" w:hAnsi="黑体" w:eastAsia="黑体" w:cs="黑体"/>
          <w:sz w:val="32"/>
          <w:szCs w:val="32"/>
        </w:rPr>
      </w:pPr>
      <w:r>
        <w:rPr>
          <w:rFonts w:hint="eastAsia" w:ascii="黑体" w:hAnsi="黑体" w:eastAsia="黑体" w:cs="黑体"/>
          <w:sz w:val="32"/>
          <w:szCs w:val="32"/>
        </w:rPr>
        <w:t>三、项目考核指标（项目执行期内）</w:t>
      </w:r>
    </w:p>
    <w:p w14:paraId="54832803">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1、收集≥200例IVUS影像数据，进行血管核心参数的结构化标注，建立IVUS分割与分类系统，实现模型分类准确率&gt;95%，支架识别召回率&gt;75%，平均IoU&gt;0.70；</w:t>
      </w:r>
    </w:p>
    <w:p w14:paraId="6DC575D0">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2、开发AI辅助PCI决策系统，完成50例AI辅助PCI决策病例验证和评估，术后ISR发生率下降20%；</w:t>
      </w:r>
    </w:p>
    <w:p w14:paraId="28E00EE5">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3、发表学术论文≥1篇，申请专利≥1项。</w:t>
      </w:r>
    </w:p>
    <w:p w14:paraId="23209B10">
      <w:pPr>
        <w:rPr>
          <w:rFonts w:ascii="仿宋_GB2312" w:hAnsi="仿宋_GB2312" w:eastAsia="仿宋_GB2312" w:cs="仿宋_GB2312"/>
          <w:sz w:val="32"/>
          <w:szCs w:val="32"/>
        </w:rPr>
      </w:pPr>
      <w:r>
        <w:rPr>
          <w:rFonts w:hint="eastAsia" w:ascii="黑体" w:hAnsi="黑体" w:eastAsia="黑体" w:cs="黑体"/>
          <w:sz w:val="32"/>
          <w:szCs w:val="32"/>
        </w:rPr>
        <w:t>四、项目实施年限：</w:t>
      </w:r>
      <w:r>
        <w:rPr>
          <w:rFonts w:hint="eastAsia" w:ascii="仿宋_GB2312" w:hAnsi="仿宋_GB2312" w:eastAsia="仿宋_GB2312" w:cs="仿宋_GB2312"/>
          <w:sz w:val="32"/>
          <w:szCs w:val="32"/>
        </w:rPr>
        <w:t>2年</w:t>
      </w:r>
    </w:p>
    <w:p w14:paraId="53B5A60C">
      <w:pPr>
        <w:rPr>
          <w:rFonts w:ascii="仿宋_GB2312" w:hAnsi="仿宋_GB2312" w:eastAsia="仿宋_GB2312" w:cs="仿宋_GB2312"/>
          <w:sz w:val="32"/>
          <w:szCs w:val="32"/>
        </w:rPr>
      </w:pPr>
      <w:r>
        <w:rPr>
          <w:rFonts w:hint="eastAsia" w:ascii="黑体" w:hAnsi="黑体" w:eastAsia="黑体" w:cs="黑体"/>
          <w:sz w:val="32"/>
          <w:szCs w:val="32"/>
        </w:rPr>
        <w:t>五、资助金额：</w:t>
      </w:r>
      <w:r>
        <w:rPr>
          <w:rFonts w:hint="eastAsia" w:ascii="仿宋_GB2312" w:hAnsi="仿宋_GB2312" w:eastAsia="仿宋_GB2312" w:cs="仿宋_GB2312"/>
          <w:sz w:val="32"/>
          <w:szCs w:val="32"/>
        </w:rPr>
        <w:t>不超过20万元</w:t>
      </w:r>
      <w:bookmarkEnd w:id="0"/>
      <w:bookmarkEnd w:id="1"/>
      <w:r>
        <w:rPr>
          <w:rFonts w:hint="eastAsia" w:ascii="仿宋_GB2312" w:hAnsi="仿宋_GB2312" w:eastAsia="仿宋_GB2312" w:cs="仿宋_GB2312"/>
          <w:sz w:val="32"/>
          <w:szCs w:val="32"/>
        </w:rPr>
        <w:tab/>
      </w:r>
    </w:p>
    <w:p w14:paraId="7353F2C7">
      <w:pPr>
        <w:adjustRightInd w:val="0"/>
        <w:snapToGrid w:val="0"/>
        <w:spacing w:after="312" w:afterLines="100" w:line="560" w:lineRule="exact"/>
        <w:jc w:val="center"/>
        <w:outlineLvl w:val="0"/>
        <w:rPr>
          <w:rFonts w:hint="eastAsia" w:ascii="黑体" w:hAnsi="黑体" w:eastAsia="黑体" w:cs="黑体"/>
          <w:b/>
          <w:sz w:val="32"/>
          <w:szCs w:val="32"/>
        </w:rPr>
      </w:pPr>
    </w:p>
    <w:p w14:paraId="64043FB4">
      <w:pPr>
        <w:adjustRightInd w:val="0"/>
        <w:snapToGrid w:val="0"/>
        <w:spacing w:after="312" w:afterLines="100" w:line="560" w:lineRule="exact"/>
        <w:jc w:val="center"/>
        <w:outlineLvl w:val="0"/>
        <w:rPr>
          <w:rFonts w:hint="eastAsia" w:ascii="黑体" w:hAnsi="黑体" w:eastAsia="黑体" w:cs="黑体"/>
          <w:b/>
          <w:sz w:val="32"/>
          <w:szCs w:val="32"/>
        </w:rPr>
      </w:pPr>
    </w:p>
    <w:p w14:paraId="455E6E1D">
      <w:pPr>
        <w:adjustRightInd w:val="0"/>
        <w:snapToGrid w:val="0"/>
        <w:spacing w:after="312" w:afterLines="100" w:line="560" w:lineRule="exact"/>
        <w:jc w:val="center"/>
        <w:outlineLvl w:val="0"/>
        <w:rPr>
          <w:rFonts w:hint="eastAsia" w:ascii="黑体" w:hAnsi="黑体" w:eastAsia="黑体" w:cs="黑体"/>
          <w:b/>
          <w:sz w:val="32"/>
          <w:szCs w:val="32"/>
        </w:rPr>
      </w:pPr>
    </w:p>
    <w:p w14:paraId="60972351">
      <w:pPr>
        <w:adjustRightInd w:val="0"/>
        <w:snapToGrid w:val="0"/>
        <w:spacing w:after="312" w:afterLines="100" w:line="560" w:lineRule="exact"/>
        <w:jc w:val="center"/>
        <w:outlineLvl w:val="0"/>
        <w:rPr>
          <w:rFonts w:hint="eastAsia" w:ascii="黑体" w:hAnsi="黑体" w:eastAsia="黑体" w:cs="黑体"/>
          <w:b/>
          <w:sz w:val="32"/>
          <w:szCs w:val="32"/>
        </w:rPr>
      </w:pPr>
    </w:p>
    <w:p w14:paraId="2FFCA217">
      <w:pPr>
        <w:adjustRightInd w:val="0"/>
        <w:snapToGrid w:val="0"/>
        <w:spacing w:after="312" w:afterLines="100" w:line="560" w:lineRule="exact"/>
        <w:jc w:val="center"/>
        <w:outlineLvl w:val="0"/>
        <w:rPr>
          <w:rFonts w:hint="eastAsia" w:ascii="黑体" w:hAnsi="黑体" w:eastAsia="黑体" w:cs="黑体"/>
          <w:b/>
          <w:sz w:val="32"/>
          <w:szCs w:val="32"/>
        </w:rPr>
      </w:pPr>
    </w:p>
    <w:p w14:paraId="494D8A4E">
      <w:pPr>
        <w:adjustRightInd w:val="0"/>
        <w:snapToGrid w:val="0"/>
        <w:spacing w:after="312" w:afterLines="100" w:line="560" w:lineRule="exact"/>
        <w:jc w:val="center"/>
        <w:outlineLvl w:val="0"/>
        <w:rPr>
          <w:rFonts w:hint="eastAsia" w:ascii="黑体" w:hAnsi="黑体" w:eastAsia="黑体" w:cs="黑体"/>
          <w:b/>
          <w:sz w:val="32"/>
          <w:szCs w:val="32"/>
        </w:rPr>
      </w:pPr>
    </w:p>
    <w:p w14:paraId="2B38C514">
      <w:pPr>
        <w:adjustRightInd w:val="0"/>
        <w:snapToGrid w:val="0"/>
        <w:spacing w:after="312" w:afterLines="100" w:line="560" w:lineRule="exact"/>
        <w:jc w:val="center"/>
        <w:outlineLvl w:val="0"/>
        <w:rPr>
          <w:rFonts w:hint="eastAsia" w:ascii="黑体" w:hAnsi="黑体" w:eastAsia="黑体" w:cs="黑体"/>
          <w:b/>
          <w:sz w:val="32"/>
          <w:szCs w:val="32"/>
        </w:rPr>
      </w:pPr>
    </w:p>
    <w:p w14:paraId="5EDC0435">
      <w:pPr>
        <w:adjustRightInd w:val="0"/>
        <w:snapToGrid w:val="0"/>
        <w:spacing w:after="312" w:afterLines="100" w:line="560" w:lineRule="exact"/>
        <w:jc w:val="center"/>
        <w:outlineLvl w:val="0"/>
        <w:rPr>
          <w:rFonts w:hint="eastAsia" w:ascii="黑体" w:hAnsi="黑体" w:eastAsia="黑体" w:cs="黑体"/>
          <w:b/>
          <w:sz w:val="32"/>
          <w:szCs w:val="32"/>
        </w:rPr>
      </w:pPr>
    </w:p>
    <w:p w14:paraId="0D9532A2">
      <w:pPr>
        <w:adjustRightInd w:val="0"/>
        <w:snapToGrid w:val="0"/>
        <w:spacing w:after="312" w:afterLines="100" w:line="560" w:lineRule="exact"/>
        <w:jc w:val="center"/>
        <w:outlineLvl w:val="0"/>
        <w:rPr>
          <w:rFonts w:hint="eastAsia" w:ascii="黑体" w:hAnsi="黑体" w:eastAsia="黑体" w:cs="黑体"/>
          <w:b/>
          <w:sz w:val="32"/>
          <w:szCs w:val="32"/>
        </w:rPr>
      </w:pPr>
    </w:p>
    <w:p w14:paraId="7A176DBA">
      <w:pPr>
        <w:adjustRightInd w:val="0"/>
        <w:snapToGrid w:val="0"/>
        <w:spacing w:after="312" w:afterLines="100" w:line="560" w:lineRule="exact"/>
        <w:jc w:val="center"/>
        <w:outlineLvl w:val="0"/>
        <w:rPr>
          <w:rFonts w:hint="eastAsia" w:ascii="黑体" w:hAnsi="黑体" w:eastAsia="黑体" w:cs="黑体"/>
          <w:b/>
          <w:sz w:val="32"/>
          <w:szCs w:val="32"/>
        </w:rPr>
      </w:pPr>
    </w:p>
    <w:p w14:paraId="40916081">
      <w:pPr>
        <w:adjustRightInd w:val="0"/>
        <w:snapToGrid w:val="0"/>
        <w:spacing w:after="312" w:afterLines="100" w:line="560" w:lineRule="exact"/>
        <w:jc w:val="center"/>
        <w:outlineLvl w:val="0"/>
        <w:rPr>
          <w:rFonts w:hint="eastAsia" w:ascii="黑体" w:hAnsi="黑体" w:eastAsia="黑体" w:cs="黑体"/>
          <w:b/>
          <w:sz w:val="32"/>
          <w:szCs w:val="32"/>
        </w:rPr>
      </w:pPr>
    </w:p>
    <w:p w14:paraId="2411657E">
      <w:pPr>
        <w:adjustRightInd w:val="0"/>
        <w:snapToGrid w:val="0"/>
        <w:spacing w:after="312" w:afterLines="100" w:line="560" w:lineRule="exact"/>
        <w:jc w:val="center"/>
        <w:outlineLvl w:val="0"/>
        <w:rPr>
          <w:rFonts w:hint="eastAsia" w:ascii="黑体" w:hAnsi="黑体" w:eastAsia="黑体" w:cs="黑体"/>
          <w:b/>
          <w:sz w:val="32"/>
          <w:szCs w:val="32"/>
        </w:rPr>
      </w:pPr>
    </w:p>
    <w:p w14:paraId="4984063A">
      <w:pPr>
        <w:adjustRightInd w:val="0"/>
        <w:snapToGrid w:val="0"/>
        <w:spacing w:after="312" w:afterLines="100" w:line="560" w:lineRule="exact"/>
        <w:jc w:val="center"/>
        <w:outlineLvl w:val="0"/>
        <w:rPr>
          <w:rFonts w:hint="eastAsia" w:ascii="黑体" w:hAnsi="黑体" w:eastAsia="黑体" w:cs="黑体"/>
          <w:b/>
          <w:sz w:val="32"/>
          <w:szCs w:val="32"/>
        </w:rPr>
      </w:pPr>
    </w:p>
    <w:p w14:paraId="4F2B60EF">
      <w:pPr>
        <w:adjustRightInd w:val="0"/>
        <w:snapToGrid w:val="0"/>
        <w:spacing w:after="312" w:afterLines="100" w:line="560" w:lineRule="exact"/>
        <w:jc w:val="center"/>
        <w:outlineLvl w:val="0"/>
        <w:rPr>
          <w:rFonts w:hint="eastAsia" w:ascii="黑体" w:hAnsi="黑体" w:eastAsia="黑体" w:cs="黑体"/>
          <w:b/>
          <w:sz w:val="32"/>
          <w:szCs w:val="32"/>
        </w:rPr>
      </w:pPr>
    </w:p>
    <w:p w14:paraId="69D0564C">
      <w:pPr>
        <w:adjustRightInd w:val="0"/>
        <w:snapToGrid w:val="0"/>
        <w:spacing w:after="312" w:afterLines="100" w:line="560" w:lineRule="exact"/>
        <w:jc w:val="center"/>
        <w:outlineLvl w:val="0"/>
        <w:rPr>
          <w:rFonts w:ascii="黑体" w:hAnsi="黑体" w:eastAsia="黑体" w:cs="黑体"/>
          <w:b/>
          <w:bCs w:val="0"/>
          <w:sz w:val="32"/>
          <w:szCs w:val="32"/>
        </w:rPr>
      </w:pPr>
      <w:r>
        <w:rPr>
          <w:rFonts w:hint="eastAsia" w:ascii="黑体" w:hAnsi="黑体" w:eastAsia="黑体" w:cs="黑体"/>
          <w:b/>
          <w:sz w:val="32"/>
          <w:szCs w:val="32"/>
          <w:lang w:val="en-US" w:eastAsia="zh-CN"/>
        </w:rPr>
        <w:t>面</w:t>
      </w:r>
      <w:r>
        <w:rPr>
          <w:rFonts w:ascii="黑体" w:hAnsi="黑体" w:eastAsia="黑体" w:cs="黑体"/>
          <w:b/>
          <w:sz w:val="32"/>
          <w:szCs w:val="32"/>
        </w:rPr>
        <w:t>2025040</w:t>
      </w:r>
      <w:r>
        <w:rPr>
          <w:rFonts w:hint="eastAsia" w:ascii="黑体" w:hAnsi="黑体" w:eastAsia="黑体" w:cs="黑体"/>
          <w:b/>
          <w:sz w:val="32"/>
          <w:szCs w:val="32"/>
          <w:lang w:val="en-US" w:eastAsia="zh-CN"/>
        </w:rPr>
        <w:t>14</w:t>
      </w:r>
      <w:r>
        <w:rPr>
          <w:rFonts w:hint="eastAsia" w:ascii="黑体" w:hAnsi="黑体" w:eastAsia="黑体" w:cs="黑体"/>
          <w:b/>
          <w:sz w:val="32"/>
          <w:szCs w:val="32"/>
        </w:rPr>
        <w:t xml:space="preserve"> </w:t>
      </w:r>
      <w:r>
        <w:rPr>
          <w:rFonts w:hint="eastAsia" w:ascii="黑体" w:hAnsi="黑体" w:eastAsia="黑体" w:cs="黑体"/>
          <w:b/>
          <w:bCs w:val="0"/>
          <w:sz w:val="32"/>
          <w:szCs w:val="32"/>
        </w:rPr>
        <w:t>基于</w:t>
      </w:r>
      <w:bookmarkStart w:id="20" w:name="OLE_LINK20"/>
      <w:bookmarkStart w:id="21" w:name="OLE_LINK21"/>
      <w:r>
        <w:rPr>
          <w:rFonts w:hint="eastAsia" w:ascii="黑体" w:hAnsi="黑体" w:eastAsia="黑体" w:cs="黑体"/>
          <w:b/>
          <w:bCs w:val="0"/>
          <w:sz w:val="32"/>
          <w:szCs w:val="32"/>
        </w:rPr>
        <w:t>冠脉微循环阻力指数（</w:t>
      </w:r>
      <w:r>
        <w:rPr>
          <w:rFonts w:ascii="黑体" w:hAnsi="黑体" w:eastAsia="黑体" w:cs="黑体"/>
          <w:b/>
          <w:bCs w:val="0"/>
          <w:sz w:val="32"/>
          <w:szCs w:val="32"/>
        </w:rPr>
        <w:t>IMR）</w:t>
      </w:r>
      <w:bookmarkEnd w:id="20"/>
      <w:bookmarkEnd w:id="21"/>
      <w:r>
        <w:rPr>
          <w:rFonts w:hint="eastAsia" w:ascii="黑体" w:hAnsi="黑体" w:eastAsia="黑体" w:cs="黑体"/>
          <w:b/>
          <w:bCs w:val="0"/>
          <w:sz w:val="32"/>
          <w:szCs w:val="32"/>
        </w:rPr>
        <w:t>的精准介入诊疗策略改善急性心肌梗死（</w:t>
      </w:r>
      <w:r>
        <w:rPr>
          <w:rFonts w:ascii="黑体" w:hAnsi="黑体" w:eastAsia="黑体" w:cs="黑体"/>
          <w:b/>
          <w:bCs w:val="0"/>
          <w:sz w:val="32"/>
          <w:szCs w:val="32"/>
        </w:rPr>
        <w:t>AMI）</w:t>
      </w:r>
      <w:r>
        <w:rPr>
          <w:rFonts w:hint="eastAsia" w:ascii="黑体" w:hAnsi="黑体" w:eastAsia="黑体" w:cs="黑体"/>
          <w:b/>
          <w:bCs w:val="0"/>
          <w:sz w:val="32"/>
          <w:szCs w:val="32"/>
        </w:rPr>
        <w:t>患者预后</w:t>
      </w:r>
      <w:bookmarkEnd w:id="2"/>
      <w:bookmarkEnd w:id="3"/>
      <w:r>
        <w:rPr>
          <w:rFonts w:hint="eastAsia" w:ascii="黑体" w:hAnsi="黑体" w:eastAsia="黑体" w:cs="黑体"/>
          <w:b/>
          <w:bCs w:val="0"/>
          <w:sz w:val="32"/>
          <w:szCs w:val="32"/>
        </w:rPr>
        <w:t>研究</w:t>
      </w:r>
    </w:p>
    <w:bookmarkEnd w:id="4"/>
    <w:bookmarkEnd w:id="5"/>
    <w:p w14:paraId="4F303087">
      <w:pPr>
        <w:pStyle w:val="10"/>
        <w:ind w:left="429" w:hanging="429" w:firstLineChars="0"/>
        <w:rPr>
          <w:rFonts w:ascii="仿宋_GB2312" w:hAnsi="仿宋_GB2312" w:eastAsia="仿宋_GB2312" w:cs="仿宋_GB2312"/>
          <w:sz w:val="32"/>
          <w:szCs w:val="32"/>
        </w:rPr>
      </w:pPr>
      <w:r>
        <w:rPr>
          <w:rFonts w:hint="eastAsia" w:ascii="黑体" w:hAnsi="黑体" w:eastAsia="黑体" w:cs="黑体"/>
          <w:sz w:val="32"/>
          <w:szCs w:val="32"/>
        </w:rPr>
        <w:t>一、领域：</w:t>
      </w:r>
      <w:r>
        <w:rPr>
          <w:rFonts w:hint="eastAsia" w:ascii="仿宋_GB2312" w:hAnsi="仿宋_GB2312" w:eastAsia="仿宋_GB2312" w:cs="仿宋_GB2312"/>
          <w:sz w:val="32"/>
          <w:szCs w:val="32"/>
        </w:rPr>
        <w:t>功能学</w:t>
      </w:r>
    </w:p>
    <w:p w14:paraId="79CF093F">
      <w:pPr>
        <w:pStyle w:val="10"/>
        <w:ind w:left="429" w:hanging="429" w:firstLineChars="0"/>
        <w:rPr>
          <w:rFonts w:ascii="黑体" w:hAnsi="黑体" w:eastAsia="黑体" w:cs="黑体"/>
          <w:sz w:val="32"/>
          <w:szCs w:val="32"/>
        </w:rPr>
      </w:pPr>
      <w:r>
        <w:rPr>
          <w:rFonts w:hint="eastAsia" w:ascii="黑体" w:hAnsi="黑体" w:eastAsia="黑体" w:cs="黑体"/>
          <w:sz w:val="32"/>
          <w:szCs w:val="32"/>
        </w:rPr>
        <w:t>二、主要研究内容</w:t>
      </w:r>
    </w:p>
    <w:p w14:paraId="05AA1DF2">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（一）研究血管内超声（IVUS）与微循环阻力指数（IMR）联合指导急性心肌梗死（AMI）患者PCI治疗的近远期临床预后的影响；</w:t>
      </w:r>
    </w:p>
    <w:p w14:paraId="747AFC3B">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（二）通过对比IVUS指导与IVUS联合IMR指导的</w:t>
      </w:r>
      <w:bookmarkStart w:id="22" w:name="OLE_LINK29"/>
      <w:bookmarkStart w:id="23" w:name="OLE_LINK28"/>
      <w:r>
        <w:rPr>
          <w:rFonts w:hint="eastAsia" w:ascii="仿宋_GB2312" w:hAnsi="仿宋_GB2312" w:eastAsia="仿宋_GB2312" w:cs="仿宋_GB2312"/>
          <w:sz w:val="32"/>
          <w:szCs w:val="32"/>
        </w:rPr>
        <w:t>PCI策略、手术时间、术中术后用药方案</w:t>
      </w:r>
      <w:bookmarkEnd w:id="22"/>
      <w:bookmarkEnd w:id="23"/>
      <w:r>
        <w:rPr>
          <w:rFonts w:hint="eastAsia" w:ascii="仿宋_GB2312" w:hAnsi="仿宋_GB2312" w:eastAsia="仿宋_GB2312" w:cs="仿宋_GB2312"/>
          <w:sz w:val="32"/>
          <w:szCs w:val="32"/>
        </w:rPr>
        <w:t>等，研究IMR对AMI患者诊疗策略的影响。</w:t>
      </w:r>
    </w:p>
    <w:p w14:paraId="5ED721F9">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（三）建立多模态、多维度联合评估指导的AMI精准介入干预及二级预防体系的循证依据。</w:t>
      </w:r>
    </w:p>
    <w:p w14:paraId="46069C9C">
      <w:pPr>
        <w:pStyle w:val="10"/>
        <w:ind w:left="429" w:hanging="429" w:firstLineChars="0"/>
        <w:rPr>
          <w:rFonts w:ascii="黑体" w:hAnsi="黑体" w:eastAsia="黑体" w:cs="黑体"/>
          <w:sz w:val="32"/>
          <w:szCs w:val="32"/>
        </w:rPr>
      </w:pPr>
      <w:r>
        <w:rPr>
          <w:rFonts w:hint="eastAsia" w:ascii="黑体" w:hAnsi="黑体" w:eastAsia="黑体" w:cs="黑体"/>
          <w:sz w:val="32"/>
          <w:szCs w:val="32"/>
        </w:rPr>
        <w:t>三、项目考核指标（项目执行期内）</w:t>
      </w:r>
    </w:p>
    <w:p w14:paraId="5A215DFB">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1、基于高分辨率（≥60MHz）IVUS指导，纳入≥100例行PCI手术的AMI患者，随机分为单独IVUS指导组和IVUS+IMR联合指导组；</w:t>
      </w:r>
    </w:p>
    <w:p w14:paraId="6551BCE7">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2、对比分析IVUS指导组和IVUS+IMR指导组两组间的主要心血管不良事件发生率（再住院、死亡等）、PCI策略、手术时间、术中术后用药方案等，评估两组间近远期临床预后，完成≥1份评估报告；</w:t>
      </w:r>
    </w:p>
    <w:p w14:paraId="7FB43ABD">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3、建立针对AMI患者的IVUS+IMR联合指导标准化介入诊疗流程；</w:t>
      </w:r>
    </w:p>
    <w:p w14:paraId="2D670FC4">
      <w:pPr>
        <w:pStyle w:val="10"/>
        <w:tabs>
          <w:tab w:val="left" w:pos="4800"/>
        </w:tabs>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4、发表学术论文≥1篇。</w:t>
      </w:r>
      <w:r>
        <w:rPr>
          <w:rFonts w:hint="eastAsia" w:ascii="仿宋_GB2312" w:hAnsi="仿宋_GB2312" w:eastAsia="仿宋_GB2312" w:cs="仿宋_GB2312"/>
          <w:sz w:val="32"/>
          <w:szCs w:val="32"/>
        </w:rPr>
        <w:tab/>
      </w:r>
    </w:p>
    <w:p w14:paraId="27598586">
      <w:pPr>
        <w:pStyle w:val="10"/>
        <w:ind w:left="429" w:hanging="429" w:firstLineChars="0"/>
        <w:rPr>
          <w:rFonts w:ascii="仿宋_GB2312" w:hAnsi="仿宋_GB2312" w:eastAsia="仿宋_GB2312" w:cs="仿宋_GB2312"/>
          <w:sz w:val="32"/>
          <w:szCs w:val="32"/>
        </w:rPr>
      </w:pPr>
      <w:r>
        <w:rPr>
          <w:rFonts w:hint="eastAsia" w:ascii="黑体" w:hAnsi="黑体" w:eastAsia="黑体" w:cs="黑体"/>
          <w:sz w:val="32"/>
          <w:szCs w:val="32"/>
        </w:rPr>
        <w:t>四、项目实施年限：</w:t>
      </w:r>
      <w:r>
        <w:rPr>
          <w:rFonts w:hint="eastAsia" w:ascii="仿宋_GB2312" w:hAnsi="仿宋_GB2312" w:eastAsia="仿宋_GB2312" w:cs="仿宋_GB2312"/>
          <w:sz w:val="32"/>
          <w:szCs w:val="32"/>
        </w:rPr>
        <w:t>2年</w:t>
      </w:r>
    </w:p>
    <w:p w14:paraId="7E2AA5EC">
      <w:pPr>
        <w:pStyle w:val="10"/>
        <w:ind w:left="429" w:hanging="429" w:firstLineChars="0"/>
        <w:rPr>
          <w:rFonts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r>
        <w:rPr>
          <w:rFonts w:hint="eastAsia" w:ascii="黑体" w:hAnsi="黑体" w:eastAsia="黑体" w:cs="黑体"/>
          <w:sz w:val="32"/>
          <w:szCs w:val="32"/>
        </w:rPr>
        <w:t>五、资助金额：</w:t>
      </w:r>
      <w:r>
        <w:rPr>
          <w:rFonts w:hint="eastAsia" w:ascii="仿宋_GB2312" w:hAnsi="仿宋_GB2312" w:eastAsia="仿宋_GB2312" w:cs="仿宋_GB2312"/>
          <w:sz w:val="32"/>
          <w:szCs w:val="32"/>
        </w:rPr>
        <w:t>不超过20万元</w:t>
      </w:r>
    </w:p>
    <w:bookmarkEnd w:id="6"/>
    <w:bookmarkEnd w:id="7"/>
    <w:p w14:paraId="78BD6BA1">
      <w:pPr>
        <w:adjustRightInd w:val="0"/>
        <w:snapToGrid w:val="0"/>
        <w:spacing w:after="312" w:afterLines="100" w:line="560" w:lineRule="exact"/>
        <w:jc w:val="center"/>
        <w:outlineLvl w:val="0"/>
        <w:rPr>
          <w:rFonts w:ascii="黑体" w:hAnsi="黑体" w:eastAsia="黑体" w:cs="黑体"/>
          <w:b/>
          <w:sz w:val="32"/>
          <w:szCs w:val="32"/>
        </w:rPr>
      </w:pPr>
      <w:r>
        <w:rPr>
          <w:rFonts w:hint="eastAsia" w:ascii="黑体" w:hAnsi="黑体" w:eastAsia="黑体" w:cs="黑体"/>
          <w:b/>
          <w:sz w:val="32"/>
          <w:szCs w:val="32"/>
          <w:lang w:val="en-US" w:eastAsia="zh-CN"/>
        </w:rPr>
        <w:t>面</w:t>
      </w:r>
      <w:r>
        <w:rPr>
          <w:rFonts w:ascii="黑体" w:hAnsi="黑体" w:eastAsia="黑体" w:cs="黑体"/>
          <w:b/>
          <w:sz w:val="32"/>
          <w:szCs w:val="32"/>
        </w:rPr>
        <w:t>2025040</w:t>
      </w:r>
      <w:r>
        <w:rPr>
          <w:rFonts w:hint="eastAsia" w:ascii="黑体" w:hAnsi="黑体" w:eastAsia="黑体" w:cs="黑体"/>
          <w:b/>
          <w:sz w:val="32"/>
          <w:szCs w:val="32"/>
          <w:lang w:val="en-US" w:eastAsia="zh-CN"/>
        </w:rPr>
        <w:t>15</w:t>
      </w:r>
      <w:r>
        <w:rPr>
          <w:rFonts w:hint="eastAsia" w:ascii="黑体" w:hAnsi="黑体" w:eastAsia="黑体" w:cs="黑体"/>
          <w:b/>
          <w:sz w:val="32"/>
          <w:szCs w:val="32"/>
        </w:rPr>
        <w:t xml:space="preserve"> 肥胖冠心病患者应用血流储备分数（FFR）指导治疗策略的研究</w:t>
      </w:r>
    </w:p>
    <w:bookmarkEnd w:id="8"/>
    <w:bookmarkEnd w:id="9"/>
    <w:p w14:paraId="11C3E399">
      <w:pPr>
        <w:pStyle w:val="10"/>
        <w:ind w:left="429" w:hanging="429" w:firstLineChars="0"/>
        <w:rPr>
          <w:rFonts w:ascii="仿宋_GB2312" w:hAnsi="仿宋_GB2312" w:eastAsia="仿宋_GB2312" w:cs="仿宋_GB2312"/>
          <w:sz w:val="32"/>
          <w:szCs w:val="32"/>
        </w:rPr>
      </w:pPr>
      <w:r>
        <w:rPr>
          <w:rFonts w:hint="eastAsia" w:ascii="黑体" w:hAnsi="黑体" w:eastAsia="黑体" w:cs="黑体"/>
          <w:sz w:val="32"/>
          <w:szCs w:val="32"/>
        </w:rPr>
        <w:t>一、领域：</w:t>
      </w:r>
      <w:r>
        <w:rPr>
          <w:rFonts w:hint="eastAsia" w:ascii="仿宋_GB2312" w:hAnsi="仿宋_GB2312" w:eastAsia="仿宋_GB2312" w:cs="仿宋_GB2312"/>
          <w:sz w:val="32"/>
          <w:szCs w:val="32"/>
        </w:rPr>
        <w:t>功能学</w:t>
      </w:r>
    </w:p>
    <w:p w14:paraId="5C6D80A3">
      <w:pPr>
        <w:pStyle w:val="10"/>
        <w:ind w:left="429" w:hanging="429" w:firstLineChars="0"/>
        <w:rPr>
          <w:rFonts w:ascii="黑体" w:hAnsi="黑体" w:eastAsia="黑体" w:cs="黑体"/>
          <w:sz w:val="32"/>
          <w:szCs w:val="32"/>
        </w:rPr>
      </w:pPr>
      <w:r>
        <w:rPr>
          <w:rFonts w:hint="eastAsia" w:ascii="黑体" w:hAnsi="黑体" w:eastAsia="黑体" w:cs="黑体"/>
          <w:sz w:val="32"/>
          <w:szCs w:val="32"/>
        </w:rPr>
        <w:t>二、主要研究内容</w:t>
      </w:r>
    </w:p>
    <w:p w14:paraId="456E0A78">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（一）验证血流储备分数（FFR）在肥胖冠心病患者中评估冠状动脉狭窄功能学意义的准确性，明确其对治疗决策的指导价值；</w:t>
      </w:r>
    </w:p>
    <w:p w14:paraId="77E8565B">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（二）比较FFR指导PCI治疗与传统影像学指导的PCI治疗的临床效果，包括主要不良心血管事件（MACE）发生率、医疗成本及生活质量的差异；</w:t>
      </w:r>
    </w:p>
    <w:p w14:paraId="5A0FC7D2">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（三）探索FFR数值与肥胖患者远期心血管事件（如心梗、再住院）的关联性，建立FFR指导的个体化预后预测模型；</w:t>
      </w:r>
    </w:p>
    <w:p w14:paraId="690C37F8">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（四）基于FFR结果优化分层治疗策略，整合多学科干预制定个体化治疗方案；</w:t>
      </w:r>
    </w:p>
    <w:p w14:paraId="64A20ED3">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（五）开展FFR指导治疗的经济学评估的研究，分析其成本效益及长期医疗支出，为临床推广提供经济依据。</w:t>
      </w:r>
    </w:p>
    <w:p w14:paraId="5E540F55">
      <w:pPr>
        <w:pStyle w:val="10"/>
        <w:ind w:left="429" w:hanging="429" w:firstLineChars="0"/>
        <w:rPr>
          <w:rFonts w:ascii="黑体" w:hAnsi="黑体" w:eastAsia="黑体" w:cs="黑体"/>
          <w:sz w:val="32"/>
          <w:szCs w:val="32"/>
        </w:rPr>
      </w:pPr>
      <w:r>
        <w:rPr>
          <w:rFonts w:hint="eastAsia" w:ascii="黑体" w:hAnsi="黑体" w:eastAsia="黑体" w:cs="黑体"/>
          <w:sz w:val="32"/>
          <w:szCs w:val="32"/>
        </w:rPr>
        <w:t>三、项目考核指标（项目执行期内）</w:t>
      </w:r>
    </w:p>
    <w:p w14:paraId="6B192FBF">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1、完成至少50例肥胖冠心病患者（BMI≥28 kg/m²）的金标准FFR测量及数据收集；</w:t>
      </w:r>
    </w:p>
    <w:p w14:paraId="6FB50F85">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2、对比FFR指导组与传统影像学指导组术后1年MACE发生率、住院时间及医疗费用，评估两组预后差异，生成≥1份评估报告，研究结果具有统计学显著性；</w:t>
      </w:r>
    </w:p>
    <w:p w14:paraId="32B3F968">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3、发表学术论文≥1篇。</w:t>
      </w:r>
    </w:p>
    <w:p w14:paraId="097958A5">
      <w:pPr>
        <w:pStyle w:val="10"/>
        <w:ind w:left="429" w:hanging="429" w:firstLineChars="0"/>
        <w:rPr>
          <w:rFonts w:ascii="仿宋_GB2312" w:hAnsi="仿宋_GB2312" w:eastAsia="仿宋_GB2312" w:cs="仿宋_GB2312"/>
          <w:sz w:val="32"/>
          <w:szCs w:val="32"/>
        </w:rPr>
      </w:pPr>
      <w:r>
        <w:rPr>
          <w:rFonts w:hint="eastAsia" w:ascii="黑体" w:hAnsi="黑体" w:eastAsia="黑体" w:cs="黑体"/>
          <w:sz w:val="32"/>
          <w:szCs w:val="32"/>
        </w:rPr>
        <w:t>四、项目实施年限：</w:t>
      </w:r>
      <w:r>
        <w:rPr>
          <w:rFonts w:hint="eastAsia" w:ascii="仿宋_GB2312" w:hAnsi="仿宋_GB2312" w:eastAsia="仿宋_GB2312" w:cs="仿宋_GB2312"/>
          <w:sz w:val="32"/>
          <w:szCs w:val="32"/>
        </w:rPr>
        <w:t>2年</w:t>
      </w:r>
    </w:p>
    <w:p w14:paraId="1A7FECD9">
      <w:pPr>
        <w:pStyle w:val="10"/>
        <w:ind w:left="429" w:hanging="429" w:firstLineChars="0"/>
        <w:rPr>
          <w:rFonts w:ascii="仿宋_GB2312" w:hAnsi="仿宋_GB2312" w:eastAsia="仿宋_GB2312" w:cs="仿宋_GB2312"/>
          <w:sz w:val="32"/>
          <w:szCs w:val="32"/>
        </w:rPr>
      </w:pPr>
      <w:r>
        <w:rPr>
          <w:rFonts w:hint="eastAsia" w:ascii="黑体" w:hAnsi="黑体" w:eastAsia="黑体" w:cs="黑体"/>
          <w:sz w:val="32"/>
          <w:szCs w:val="32"/>
        </w:rPr>
        <w:t>五、资助金额：</w:t>
      </w:r>
      <w:r>
        <w:rPr>
          <w:rFonts w:hint="eastAsia" w:ascii="仿宋_GB2312" w:hAnsi="仿宋_GB2312" w:eastAsia="仿宋_GB2312" w:cs="仿宋_GB2312"/>
          <w:sz w:val="32"/>
          <w:szCs w:val="32"/>
        </w:rPr>
        <w:t>不超过10万元</w:t>
      </w:r>
    </w:p>
    <w:p w14:paraId="5AA3BA4A">
      <w:pPr>
        <w:spacing w:line="360" w:lineRule="auto"/>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735B4F2B">
      <w:pPr>
        <w:adjustRightInd w:val="0"/>
        <w:snapToGrid w:val="0"/>
        <w:spacing w:after="312" w:afterLines="100" w:line="560" w:lineRule="exact"/>
        <w:jc w:val="center"/>
        <w:outlineLvl w:val="0"/>
        <w:rPr>
          <w:rFonts w:ascii="黑体" w:hAnsi="黑体" w:eastAsia="黑体" w:cs="黑体"/>
          <w:b/>
          <w:bCs w:val="0"/>
          <w:sz w:val="32"/>
          <w:szCs w:val="32"/>
        </w:rPr>
      </w:pPr>
      <w:r>
        <w:rPr>
          <w:rFonts w:hint="eastAsia" w:ascii="黑体" w:hAnsi="黑体" w:eastAsia="黑体" w:cs="黑体"/>
          <w:b/>
          <w:sz w:val="32"/>
          <w:szCs w:val="32"/>
          <w:lang w:val="en-US" w:eastAsia="zh-CN"/>
        </w:rPr>
        <w:t>面</w:t>
      </w:r>
      <w:r>
        <w:rPr>
          <w:rFonts w:ascii="黑体" w:hAnsi="黑体" w:eastAsia="黑体" w:cs="黑体"/>
          <w:b/>
          <w:sz w:val="32"/>
          <w:szCs w:val="32"/>
        </w:rPr>
        <w:t>2025040</w:t>
      </w:r>
      <w:r>
        <w:rPr>
          <w:rFonts w:hint="eastAsia" w:ascii="黑体" w:hAnsi="黑体" w:eastAsia="黑体" w:cs="黑体"/>
          <w:b/>
          <w:sz w:val="32"/>
          <w:szCs w:val="32"/>
          <w:lang w:val="en-US" w:eastAsia="zh-CN"/>
        </w:rPr>
        <w:t>16</w:t>
      </w:r>
      <w:r>
        <w:rPr>
          <w:rFonts w:ascii="黑体" w:hAnsi="黑体" w:eastAsia="黑体" w:cs="黑体"/>
          <w:b/>
          <w:bCs w:val="0"/>
          <w:sz w:val="32"/>
          <w:szCs w:val="32"/>
        </w:rPr>
        <w:t xml:space="preserve"> </w:t>
      </w:r>
      <w:r>
        <w:rPr>
          <w:rFonts w:hint="eastAsia" w:ascii="黑体" w:hAnsi="黑体" w:eastAsia="黑体" w:cs="黑体"/>
          <w:b/>
          <w:bCs w:val="0"/>
          <w:sz w:val="32"/>
          <w:szCs w:val="32"/>
        </w:rPr>
        <w:t>血流储备分数（</w:t>
      </w:r>
      <w:r>
        <w:rPr>
          <w:rFonts w:ascii="黑体" w:hAnsi="黑体" w:eastAsia="黑体" w:cs="黑体"/>
          <w:b/>
          <w:bCs w:val="0"/>
          <w:sz w:val="32"/>
          <w:szCs w:val="32"/>
        </w:rPr>
        <w:t>FFR</w:t>
      </w:r>
      <w:r>
        <w:rPr>
          <w:rFonts w:hint="eastAsia" w:ascii="黑体" w:hAnsi="黑体" w:eastAsia="黑体" w:cs="黑体"/>
          <w:b/>
          <w:bCs w:val="0"/>
          <w:sz w:val="32"/>
          <w:szCs w:val="32"/>
        </w:rPr>
        <w:t>）在糖尿病合并冠心病患者冠脉介入中的评估与应用研究</w:t>
      </w:r>
    </w:p>
    <w:p w14:paraId="383F1C2B">
      <w:pPr>
        <w:pStyle w:val="10"/>
        <w:ind w:left="429" w:hanging="429" w:firstLineChars="0"/>
        <w:rPr>
          <w:rFonts w:ascii="仿宋_GB2312" w:hAnsi="仿宋_GB2312" w:eastAsia="仿宋_GB2312" w:cs="仿宋_GB2312"/>
          <w:sz w:val="32"/>
          <w:szCs w:val="32"/>
        </w:rPr>
      </w:pPr>
      <w:r>
        <w:rPr>
          <w:rFonts w:hint="eastAsia" w:ascii="黑体" w:hAnsi="黑体" w:eastAsia="黑体" w:cs="黑体"/>
          <w:sz w:val="32"/>
          <w:szCs w:val="32"/>
        </w:rPr>
        <w:t>一、领域：</w:t>
      </w:r>
      <w:r>
        <w:rPr>
          <w:rFonts w:hint="eastAsia" w:ascii="仿宋_GB2312" w:hAnsi="仿宋_GB2312" w:eastAsia="仿宋_GB2312" w:cs="仿宋_GB2312"/>
          <w:sz w:val="32"/>
          <w:szCs w:val="32"/>
        </w:rPr>
        <w:t>功能学</w:t>
      </w:r>
    </w:p>
    <w:p w14:paraId="39371264">
      <w:pPr>
        <w:pStyle w:val="10"/>
        <w:ind w:left="429" w:hanging="429" w:firstLineChars="0"/>
        <w:rPr>
          <w:rFonts w:ascii="黑体" w:hAnsi="黑体" w:eastAsia="黑体" w:cs="黑体"/>
          <w:sz w:val="32"/>
          <w:szCs w:val="32"/>
        </w:rPr>
      </w:pPr>
      <w:r>
        <w:rPr>
          <w:rFonts w:hint="eastAsia" w:ascii="黑体" w:hAnsi="黑体" w:eastAsia="黑体" w:cs="黑体"/>
          <w:sz w:val="32"/>
          <w:szCs w:val="32"/>
        </w:rPr>
        <w:t>二、主要研究内容</w:t>
      </w:r>
    </w:p>
    <w:p w14:paraId="645497AD">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（一）探索血流储备分数（FFR）在糖尿病冠心病患者中的诊断效能，明确糖尿病相关微循环障碍、弥漫性病变对FFR的影响，基于糖尿病亚型，探索FFR干预阈值；</w:t>
      </w:r>
    </w:p>
    <w:p w14:paraId="19C1DCEA">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（二）联合高分辨率血管内超声（IVUS）影像分析斑块特征，研究其与FFR的相关性，制定功能学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影像学联合个体化治疗策略；</w:t>
      </w:r>
    </w:p>
    <w:p w14:paraId="791E0D37">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（三）研究FFR指导糖尿病患者治疗的长期预后，分析糖尿病患者FFR指导PCI与非FFR指导的不良事件（MACE）发生率差异，明确功能学评估对预后的改善作用。</w:t>
      </w:r>
    </w:p>
    <w:p w14:paraId="131601B6">
      <w:pPr>
        <w:pStyle w:val="10"/>
        <w:ind w:left="429" w:hanging="429" w:firstLineChars="0"/>
        <w:rPr>
          <w:rFonts w:ascii="黑体" w:hAnsi="黑体" w:eastAsia="黑体" w:cs="黑体"/>
          <w:sz w:val="32"/>
          <w:szCs w:val="32"/>
        </w:rPr>
      </w:pPr>
      <w:r>
        <w:rPr>
          <w:rFonts w:hint="eastAsia" w:ascii="黑体" w:hAnsi="黑体" w:eastAsia="黑体" w:cs="黑体"/>
          <w:sz w:val="32"/>
          <w:szCs w:val="32"/>
        </w:rPr>
        <w:t>三、项目考核指标（项目执行期内）</w:t>
      </w:r>
    </w:p>
    <w:p w14:paraId="5A27D3A6">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1、纳入≥50例基于糖尿病合并不稳定心绞痛患者，收集FFR、CFR和IMR测量数据，IVUS影像数据，以及生物标志物IL-6、TNF-α、sST2等检测数据；建立多模态数据模型，开发糖尿病患者的功能学指标校正算法；</w:t>
      </w:r>
    </w:p>
    <w:p w14:paraId="31B92993">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2、评估FFR指导治疗的长期预后效果，分析FFR指导与非FFR指导的2年MACE发生率（心源性死亡、非致死性心梗、血运重建）差异，生成≥1份评估报告；</w:t>
      </w:r>
    </w:p>
    <w:p w14:paraId="3DDC19A1">
      <w:pPr>
        <w:pStyle w:val="10"/>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3、发表学术论文≥1篇</w:t>
      </w:r>
      <w:r>
        <w:rPr>
          <w:rFonts w:hint="eastAsia" w:ascii="仿宋_GB2312" w:hAnsi="仿宋_GB2312" w:eastAsia="仿宋_GB2312" w:cs="仿宋_GB2312"/>
          <w:sz w:val="32"/>
          <w:szCs w:val="32"/>
          <w:lang w:eastAsia="zh-CN"/>
        </w:rPr>
        <w:t>。</w:t>
      </w:r>
    </w:p>
    <w:p w14:paraId="0B85131C">
      <w:pPr>
        <w:pStyle w:val="10"/>
        <w:ind w:left="429" w:hanging="429" w:firstLineChars="0"/>
        <w:rPr>
          <w:rFonts w:ascii="仿宋_GB2312" w:hAnsi="仿宋_GB2312" w:eastAsia="仿宋_GB2312" w:cs="仿宋_GB2312"/>
          <w:sz w:val="32"/>
          <w:szCs w:val="32"/>
        </w:rPr>
      </w:pPr>
      <w:r>
        <w:rPr>
          <w:rFonts w:hint="eastAsia" w:ascii="黑体" w:hAnsi="黑体" w:eastAsia="黑体" w:cs="黑体"/>
          <w:sz w:val="32"/>
          <w:szCs w:val="32"/>
        </w:rPr>
        <w:t>四、项目实施年限：</w:t>
      </w:r>
      <w:r>
        <w:rPr>
          <w:rFonts w:hint="eastAsia" w:ascii="仿宋_GB2312" w:hAnsi="仿宋_GB2312" w:eastAsia="仿宋_GB2312" w:cs="仿宋_GB2312"/>
          <w:sz w:val="32"/>
          <w:szCs w:val="32"/>
        </w:rPr>
        <w:t>2年</w:t>
      </w:r>
    </w:p>
    <w:p w14:paraId="6C995D4B">
      <w:pPr>
        <w:pStyle w:val="10"/>
        <w:ind w:left="429" w:hanging="429" w:firstLineChars="0"/>
        <w:rPr>
          <w:rFonts w:ascii="仿宋_GB2312" w:hAnsi="仿宋_GB2312" w:eastAsia="仿宋_GB2312" w:cs="仿宋_GB2312"/>
          <w:sz w:val="32"/>
          <w:szCs w:val="32"/>
        </w:rPr>
        <w:sectPr>
          <w:pgSz w:w="11906" w:h="16838"/>
          <w:pgMar w:top="1440" w:right="1800" w:bottom="1440" w:left="1800" w:header="851" w:footer="992" w:gutter="0"/>
          <w:cols w:space="425" w:num="1"/>
          <w:docGrid w:type="lines" w:linePitch="312" w:charSpace="0"/>
        </w:sectPr>
      </w:pPr>
      <w:r>
        <w:rPr>
          <w:rFonts w:hint="eastAsia" w:ascii="黑体" w:hAnsi="黑体" w:eastAsia="黑体" w:cs="黑体"/>
          <w:sz w:val="32"/>
          <w:szCs w:val="32"/>
        </w:rPr>
        <w:t>五、资助金额：</w:t>
      </w:r>
      <w:r>
        <w:rPr>
          <w:rFonts w:hint="eastAsia" w:ascii="仿宋_GB2312" w:hAnsi="仿宋_GB2312" w:eastAsia="仿宋_GB2312" w:cs="仿宋_GB2312"/>
          <w:sz w:val="32"/>
          <w:szCs w:val="32"/>
        </w:rPr>
        <w:t>不超过10万元</w:t>
      </w:r>
    </w:p>
    <w:p w14:paraId="7B1E036E">
      <w:pPr>
        <w:adjustRightInd w:val="0"/>
        <w:snapToGrid w:val="0"/>
        <w:spacing w:after="312" w:afterLines="100" w:line="560" w:lineRule="exact"/>
        <w:jc w:val="center"/>
        <w:outlineLvl w:val="0"/>
        <w:rPr>
          <w:rFonts w:ascii="黑体" w:hAnsi="黑体" w:eastAsia="黑体" w:cs="黑体"/>
          <w:b/>
          <w:bCs w:val="0"/>
          <w:sz w:val="32"/>
          <w:szCs w:val="32"/>
        </w:rPr>
      </w:pPr>
      <w:r>
        <w:rPr>
          <w:rFonts w:hint="eastAsia" w:ascii="黑体" w:hAnsi="黑体" w:eastAsia="黑体" w:cs="黑体"/>
          <w:b/>
          <w:sz w:val="32"/>
          <w:szCs w:val="32"/>
          <w:lang w:val="en-US" w:eastAsia="zh-CN"/>
        </w:rPr>
        <w:t>面</w:t>
      </w:r>
      <w:r>
        <w:rPr>
          <w:rFonts w:ascii="黑体" w:hAnsi="黑体" w:eastAsia="黑体" w:cs="黑体"/>
          <w:b/>
          <w:sz w:val="32"/>
          <w:szCs w:val="32"/>
        </w:rPr>
        <w:t>2025040</w:t>
      </w:r>
      <w:r>
        <w:rPr>
          <w:rFonts w:hint="eastAsia" w:ascii="黑体" w:hAnsi="黑体" w:eastAsia="黑体" w:cs="黑体"/>
          <w:b/>
          <w:sz w:val="32"/>
          <w:szCs w:val="32"/>
          <w:lang w:val="en-US" w:eastAsia="zh-CN"/>
        </w:rPr>
        <w:t>17</w:t>
      </w:r>
      <w:r>
        <w:rPr>
          <w:rFonts w:ascii="黑体" w:hAnsi="黑体" w:eastAsia="黑体" w:cs="黑体"/>
          <w:b/>
          <w:bCs w:val="0"/>
          <w:sz w:val="32"/>
          <w:szCs w:val="32"/>
        </w:rPr>
        <w:t xml:space="preserve"> </w:t>
      </w:r>
      <w:r>
        <w:rPr>
          <w:rFonts w:hint="eastAsia" w:ascii="黑体" w:hAnsi="黑体" w:eastAsia="黑体" w:cs="黑体"/>
          <w:b/>
          <w:bCs w:val="0"/>
          <w:sz w:val="32"/>
          <w:szCs w:val="32"/>
        </w:rPr>
        <w:t>血管内超声（</w:t>
      </w:r>
      <w:r>
        <w:rPr>
          <w:rFonts w:ascii="黑体" w:hAnsi="黑体" w:eastAsia="黑体" w:cs="黑体"/>
          <w:b/>
          <w:bCs w:val="0"/>
          <w:sz w:val="32"/>
          <w:szCs w:val="32"/>
        </w:rPr>
        <w:t>IVUS</w:t>
      </w:r>
      <w:r>
        <w:rPr>
          <w:rFonts w:hint="eastAsia" w:ascii="黑体" w:hAnsi="黑体" w:eastAsia="黑体" w:cs="黑体"/>
          <w:b/>
          <w:bCs w:val="0"/>
          <w:sz w:val="32"/>
          <w:szCs w:val="32"/>
        </w:rPr>
        <w:t>）指导下双腔微导管辅助的</w:t>
      </w:r>
      <w:r>
        <w:rPr>
          <w:rFonts w:ascii="黑体" w:hAnsi="黑体" w:eastAsia="黑体" w:cs="黑体"/>
          <w:b/>
          <w:bCs w:val="0"/>
          <w:sz w:val="32"/>
          <w:szCs w:val="32"/>
        </w:rPr>
        <w:t>DK-Crush技术在冠脉分叉病变中的应用</w:t>
      </w:r>
      <w:r>
        <w:rPr>
          <w:rFonts w:hint="eastAsia" w:ascii="黑体" w:hAnsi="黑体" w:eastAsia="黑体" w:cs="黑体"/>
          <w:b/>
          <w:bCs w:val="0"/>
          <w:sz w:val="32"/>
          <w:szCs w:val="32"/>
        </w:rPr>
        <w:t>研究</w:t>
      </w:r>
    </w:p>
    <w:p w14:paraId="0912D16B">
      <w:pPr>
        <w:pStyle w:val="10"/>
        <w:ind w:left="429" w:hanging="429" w:firstLineChars="0"/>
        <w:rPr>
          <w:rFonts w:ascii="仿宋_GB2312" w:hAnsi="仿宋_GB2312" w:eastAsia="仿宋_GB2312" w:cs="仿宋_GB2312"/>
          <w:sz w:val="32"/>
          <w:szCs w:val="32"/>
        </w:rPr>
      </w:pPr>
      <w:r>
        <w:rPr>
          <w:rFonts w:hint="eastAsia" w:ascii="黑体" w:hAnsi="黑体" w:eastAsia="黑体" w:cs="黑体"/>
          <w:sz w:val="32"/>
          <w:szCs w:val="32"/>
        </w:rPr>
        <w:t>一、领域：</w:t>
      </w:r>
      <w:r>
        <w:rPr>
          <w:rFonts w:hint="eastAsia" w:ascii="仿宋_GB2312" w:hAnsi="仿宋_GB2312" w:eastAsia="仿宋_GB2312" w:cs="仿宋_GB2312"/>
          <w:sz w:val="32"/>
          <w:szCs w:val="32"/>
        </w:rPr>
        <w:t>复杂PCI</w:t>
      </w:r>
    </w:p>
    <w:p w14:paraId="3F0B4BB1">
      <w:pPr>
        <w:pStyle w:val="10"/>
        <w:ind w:left="429" w:hanging="429" w:firstLineChars="0"/>
        <w:rPr>
          <w:rFonts w:ascii="黑体" w:hAnsi="黑体" w:eastAsia="黑体" w:cs="黑体"/>
          <w:sz w:val="32"/>
          <w:szCs w:val="32"/>
        </w:rPr>
      </w:pPr>
      <w:r>
        <w:rPr>
          <w:rFonts w:hint="eastAsia" w:ascii="黑体" w:hAnsi="黑体" w:eastAsia="黑体" w:cs="黑体"/>
          <w:sz w:val="32"/>
          <w:szCs w:val="32"/>
        </w:rPr>
        <w:t>二、主要研究内容</w:t>
      </w:r>
    </w:p>
    <w:p w14:paraId="488AD31D">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（一）高清高速血管内超声（IVUS）指导下，结合柔性锥头双腔微导管辅助的DK-Crush技术，优化复杂冠脉分叉病变的手术操作流程；</w:t>
      </w:r>
    </w:p>
    <w:p w14:paraId="694D4D49">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（二）探究IVUS指导与造影指导传统DK-Crush技术的手术效果，评估安全性、有效性和远期疗效；</w:t>
      </w:r>
    </w:p>
    <w:p w14:paraId="151DCFE4">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（三）评估高清高速IVUS指导下使用柔性锥头双腔微导管在冠脉分叉病变治疗的技术优势，推动技术临床应用。</w:t>
      </w:r>
    </w:p>
    <w:p w14:paraId="4AD791A2">
      <w:pPr>
        <w:pStyle w:val="10"/>
        <w:ind w:left="429" w:hanging="429" w:firstLineChars="0"/>
        <w:rPr>
          <w:rFonts w:ascii="黑体" w:hAnsi="黑体" w:eastAsia="黑体" w:cs="黑体"/>
          <w:sz w:val="32"/>
          <w:szCs w:val="32"/>
        </w:rPr>
      </w:pPr>
      <w:r>
        <w:rPr>
          <w:rFonts w:hint="eastAsia" w:ascii="黑体" w:hAnsi="黑体" w:eastAsia="黑体" w:cs="黑体"/>
          <w:sz w:val="32"/>
          <w:szCs w:val="32"/>
        </w:rPr>
        <w:t>三、项目考核指标（项目执行期内）</w:t>
      </w:r>
    </w:p>
    <w:p w14:paraId="51C367C3">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1、完成复杂冠脉分叉病变患者的1:1随机分组研究，其中高清高速（≥100FPS）IVUS指导柔性锥头双腔微导管入组</w:t>
      </w:r>
      <w:bookmarkStart w:id="24" w:name="OLE_LINK3"/>
      <w:bookmarkStart w:id="25" w:name="OLE_LINK4"/>
      <w:r>
        <w:rPr>
          <w:rFonts w:hint="eastAsia" w:ascii="仿宋_GB2312" w:hAnsi="仿宋_GB2312" w:eastAsia="仿宋_GB2312" w:cs="仿宋_GB2312"/>
          <w:sz w:val="32"/>
          <w:szCs w:val="32"/>
        </w:rPr>
        <w:t>例数应≥30例</w:t>
      </w:r>
      <w:bookmarkEnd w:id="24"/>
      <w:bookmarkEnd w:id="25"/>
      <w:r>
        <w:rPr>
          <w:rFonts w:hint="eastAsia" w:ascii="仿宋_GB2312" w:hAnsi="仿宋_GB2312" w:eastAsia="仿宋_GB2312" w:cs="仿宋_GB2312"/>
          <w:sz w:val="32"/>
          <w:szCs w:val="32"/>
        </w:rPr>
        <w:t>；</w:t>
      </w:r>
    </w:p>
    <w:p w14:paraId="10DD452C">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2、对比IVUS指导组和造影指导组术后12个月MACE发生率、手术时间、手术成功率、分支血管丢失率等指标，生成≥1份评估报告；</w:t>
      </w:r>
    </w:p>
    <w:p w14:paraId="63D94B1C">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3、总结新技术应用经验，在学术会议作病例报告≥1个；</w:t>
      </w:r>
    </w:p>
    <w:p w14:paraId="35A41029">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4、发表学术论文≥1篇。</w:t>
      </w:r>
    </w:p>
    <w:p w14:paraId="4870EA8E">
      <w:pPr>
        <w:pStyle w:val="10"/>
        <w:ind w:left="429" w:hanging="429" w:firstLineChars="0"/>
        <w:rPr>
          <w:rFonts w:ascii="仿宋_GB2312" w:hAnsi="仿宋_GB2312" w:eastAsia="仿宋_GB2312" w:cs="仿宋_GB2312"/>
          <w:sz w:val="32"/>
          <w:szCs w:val="32"/>
        </w:rPr>
      </w:pPr>
      <w:r>
        <w:rPr>
          <w:rFonts w:hint="eastAsia" w:ascii="黑体" w:hAnsi="黑体" w:eastAsia="黑体" w:cs="黑体"/>
          <w:sz w:val="32"/>
          <w:szCs w:val="32"/>
        </w:rPr>
        <w:t>四、项目实施年限：</w:t>
      </w:r>
      <w:r>
        <w:rPr>
          <w:rFonts w:hint="eastAsia" w:ascii="仿宋_GB2312" w:hAnsi="仿宋_GB2312" w:eastAsia="仿宋_GB2312" w:cs="仿宋_GB2312"/>
          <w:sz w:val="32"/>
          <w:szCs w:val="32"/>
        </w:rPr>
        <w:t>2年</w:t>
      </w:r>
    </w:p>
    <w:p w14:paraId="09388FAA">
      <w:pPr>
        <w:pStyle w:val="10"/>
        <w:ind w:left="429" w:hanging="429" w:firstLineChars="0"/>
        <w:rPr>
          <w:rFonts w:ascii="仿宋_GB2312" w:hAnsi="仿宋_GB2312" w:eastAsia="仿宋_GB2312" w:cs="仿宋_GB2312"/>
          <w:sz w:val="32"/>
          <w:szCs w:val="32"/>
        </w:rPr>
      </w:pPr>
      <w:r>
        <w:rPr>
          <w:rFonts w:hint="eastAsia" w:ascii="黑体" w:hAnsi="黑体" w:eastAsia="黑体" w:cs="黑体"/>
          <w:sz w:val="32"/>
          <w:szCs w:val="32"/>
        </w:rPr>
        <w:t>五、资助金额：</w:t>
      </w:r>
      <w:r>
        <w:rPr>
          <w:rFonts w:hint="eastAsia" w:ascii="仿宋_GB2312" w:hAnsi="仿宋_GB2312" w:eastAsia="仿宋_GB2312" w:cs="仿宋_GB2312"/>
          <w:sz w:val="32"/>
          <w:szCs w:val="32"/>
        </w:rPr>
        <w:t>不超过10万元</w:t>
      </w:r>
    </w:p>
    <w:p w14:paraId="5F835A12">
      <w:pPr>
        <w:spacing w:line="360" w:lineRule="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br w:type="page"/>
      </w:r>
    </w:p>
    <w:p w14:paraId="1436D5D1">
      <w:pPr>
        <w:adjustRightInd w:val="0"/>
        <w:snapToGrid w:val="0"/>
        <w:spacing w:after="312" w:afterLines="100" w:line="560" w:lineRule="exact"/>
        <w:jc w:val="center"/>
        <w:outlineLvl w:val="0"/>
        <w:rPr>
          <w:rFonts w:ascii="黑体" w:hAnsi="黑体" w:eastAsia="黑体" w:cs="黑体"/>
          <w:b/>
          <w:bCs w:val="0"/>
          <w:sz w:val="32"/>
          <w:szCs w:val="32"/>
        </w:rPr>
      </w:pPr>
      <w:r>
        <w:rPr>
          <w:rFonts w:hint="eastAsia" w:ascii="黑体" w:hAnsi="黑体" w:eastAsia="黑体" w:cs="黑体"/>
          <w:b/>
          <w:sz w:val="32"/>
          <w:szCs w:val="32"/>
          <w:lang w:val="en-US" w:eastAsia="zh-CN"/>
        </w:rPr>
        <w:t>面</w:t>
      </w:r>
      <w:r>
        <w:rPr>
          <w:rFonts w:ascii="黑体" w:hAnsi="黑体" w:eastAsia="黑体" w:cs="黑体"/>
          <w:b/>
          <w:sz w:val="32"/>
          <w:szCs w:val="32"/>
        </w:rPr>
        <w:t>2025040</w:t>
      </w:r>
      <w:r>
        <w:rPr>
          <w:rFonts w:hint="eastAsia" w:ascii="黑体" w:hAnsi="黑体" w:eastAsia="黑体" w:cs="黑体"/>
          <w:b/>
          <w:sz w:val="32"/>
          <w:szCs w:val="32"/>
          <w:lang w:val="en-US" w:eastAsia="zh-CN"/>
        </w:rPr>
        <w:t>18</w:t>
      </w:r>
      <w:r>
        <w:rPr>
          <w:rFonts w:ascii="黑体" w:hAnsi="黑体" w:eastAsia="黑体" w:cs="黑体"/>
          <w:b/>
          <w:sz w:val="32"/>
          <w:szCs w:val="32"/>
        </w:rPr>
        <w:t xml:space="preserve"> </w:t>
      </w:r>
      <w:r>
        <w:rPr>
          <w:rFonts w:hint="eastAsia" w:ascii="黑体" w:hAnsi="黑体" w:eastAsia="黑体" w:cs="黑体"/>
          <w:b/>
          <w:bCs w:val="0"/>
          <w:sz w:val="32"/>
          <w:szCs w:val="32"/>
        </w:rPr>
        <w:t>合并糖尿病的冠脉慢性闭塞病变患者血管特性变化的研究</w:t>
      </w:r>
    </w:p>
    <w:p w14:paraId="11B9DC70">
      <w:pPr>
        <w:pStyle w:val="10"/>
        <w:ind w:left="429" w:hanging="429" w:firstLineChars="0"/>
        <w:rPr>
          <w:rFonts w:ascii="仿宋_GB2312" w:hAnsi="仿宋_GB2312" w:eastAsia="仿宋_GB2312" w:cs="仿宋_GB2312"/>
          <w:sz w:val="32"/>
          <w:szCs w:val="32"/>
        </w:rPr>
      </w:pPr>
      <w:r>
        <w:rPr>
          <w:rFonts w:hint="eastAsia" w:ascii="黑体" w:hAnsi="黑体" w:eastAsia="黑体" w:cs="黑体"/>
          <w:sz w:val="32"/>
          <w:szCs w:val="32"/>
        </w:rPr>
        <w:t>一、领域：</w:t>
      </w:r>
      <w:r>
        <w:rPr>
          <w:rFonts w:hint="eastAsia" w:ascii="仿宋_GB2312" w:hAnsi="仿宋_GB2312" w:eastAsia="仿宋_GB2312" w:cs="仿宋_GB2312"/>
          <w:sz w:val="32"/>
          <w:szCs w:val="32"/>
        </w:rPr>
        <w:t>复杂PCI</w:t>
      </w:r>
    </w:p>
    <w:p w14:paraId="73FA88A8">
      <w:pPr>
        <w:pStyle w:val="10"/>
        <w:ind w:left="429" w:hanging="429" w:firstLineChars="0"/>
        <w:rPr>
          <w:rFonts w:ascii="黑体" w:hAnsi="黑体" w:eastAsia="黑体" w:cs="黑体"/>
          <w:sz w:val="32"/>
          <w:szCs w:val="32"/>
        </w:rPr>
      </w:pPr>
      <w:r>
        <w:rPr>
          <w:rFonts w:hint="eastAsia" w:ascii="黑体" w:hAnsi="黑体" w:eastAsia="黑体" w:cs="黑体"/>
          <w:sz w:val="32"/>
          <w:szCs w:val="32"/>
        </w:rPr>
        <w:t>二、主要研究内容</w:t>
      </w:r>
    </w:p>
    <w:p w14:paraId="5473B2DA">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（一）基于腔内影像技术，定量评估冠脉慢性闭塞病变（CTO）开通即刻及一年期的血管特性变化，</w:t>
      </w:r>
      <w:bookmarkStart w:id="26" w:name="OLE_LINK37"/>
      <w:bookmarkStart w:id="27" w:name="OLE_LINK36"/>
      <w:r>
        <w:rPr>
          <w:rFonts w:hint="eastAsia" w:ascii="仿宋_GB2312" w:hAnsi="仿宋_GB2312" w:eastAsia="仿宋_GB2312" w:cs="仿宋_GB2312"/>
          <w:sz w:val="32"/>
          <w:szCs w:val="32"/>
        </w:rPr>
        <w:t>建立</w:t>
      </w:r>
      <w:bookmarkEnd w:id="26"/>
      <w:bookmarkEnd w:id="27"/>
      <w:r>
        <w:rPr>
          <w:rFonts w:hint="eastAsia" w:ascii="仿宋_GB2312" w:hAnsi="仿宋_GB2312" w:eastAsia="仿宋_GB2312" w:cs="仿宋_GB2312"/>
          <w:sz w:val="32"/>
          <w:szCs w:val="32"/>
        </w:rPr>
        <w:t>慢性闭塞病变开通后血管特性变化预测模型；</w:t>
      </w:r>
    </w:p>
    <w:p w14:paraId="4F4367E6">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（二）探索基于慢性闭塞病变开通即刻的血管参数以及基于血管特性变化预测模型选择支架尺寸的预后差异。</w:t>
      </w:r>
    </w:p>
    <w:p w14:paraId="72F30B35">
      <w:pPr>
        <w:pStyle w:val="10"/>
        <w:ind w:left="429" w:hanging="429" w:firstLineChars="0"/>
        <w:rPr>
          <w:rFonts w:ascii="黑体" w:hAnsi="黑体" w:eastAsia="黑体" w:cs="黑体"/>
          <w:sz w:val="32"/>
          <w:szCs w:val="32"/>
        </w:rPr>
      </w:pPr>
      <w:r>
        <w:rPr>
          <w:rFonts w:hint="eastAsia" w:ascii="黑体" w:hAnsi="黑体" w:eastAsia="黑体" w:cs="黑体"/>
          <w:sz w:val="32"/>
          <w:szCs w:val="32"/>
        </w:rPr>
        <w:t>三、项目考核指标（项目执行期内）</w:t>
      </w:r>
    </w:p>
    <w:p w14:paraId="02B9E7F1">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1、完成≥30例合并糖尿病的冠脉慢性闭塞病变患者的血管内超声影像数据收集，要求图像采集频率≥60MHz，提取慢性闭塞病变开通即可以及一年期随访的血管外弹力膜形态学参数；</w:t>
      </w:r>
    </w:p>
    <w:p w14:paraId="479772F8">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2、建立慢性闭塞病变开通后血管特性变化预测模型，使用公开腔内影像数据集进行验证，生成≥1份评估报告；</w:t>
      </w:r>
    </w:p>
    <w:p w14:paraId="6E761864">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3、发表学术论文≥1篇。</w:t>
      </w:r>
    </w:p>
    <w:p w14:paraId="2F3ACB38">
      <w:pPr>
        <w:pStyle w:val="10"/>
        <w:ind w:left="429" w:hanging="429" w:firstLineChars="0"/>
        <w:rPr>
          <w:rFonts w:ascii="仿宋_GB2312" w:hAnsi="仿宋_GB2312" w:eastAsia="仿宋_GB2312" w:cs="仿宋_GB2312"/>
          <w:sz w:val="32"/>
          <w:szCs w:val="32"/>
        </w:rPr>
      </w:pPr>
      <w:r>
        <w:rPr>
          <w:rFonts w:hint="eastAsia" w:ascii="黑体" w:hAnsi="黑体" w:eastAsia="黑体" w:cs="黑体"/>
          <w:sz w:val="32"/>
          <w:szCs w:val="32"/>
        </w:rPr>
        <w:t>四、项目实施年限：</w:t>
      </w:r>
      <w:r>
        <w:rPr>
          <w:rFonts w:hint="eastAsia" w:ascii="仿宋_GB2312" w:hAnsi="仿宋_GB2312" w:eastAsia="仿宋_GB2312" w:cs="仿宋_GB2312"/>
          <w:sz w:val="32"/>
          <w:szCs w:val="32"/>
        </w:rPr>
        <w:t>2年</w:t>
      </w:r>
    </w:p>
    <w:p w14:paraId="3C3454C8">
      <w:pPr>
        <w:pStyle w:val="10"/>
        <w:ind w:left="429" w:hanging="429" w:firstLineChars="0"/>
        <w:rPr>
          <w:rFonts w:ascii="仿宋_GB2312" w:hAnsi="仿宋_GB2312" w:eastAsia="仿宋_GB2312" w:cs="仿宋_GB2312"/>
          <w:sz w:val="32"/>
          <w:szCs w:val="32"/>
        </w:rPr>
      </w:pPr>
      <w:r>
        <w:rPr>
          <w:rFonts w:hint="eastAsia" w:ascii="黑体" w:hAnsi="黑体" w:eastAsia="黑体" w:cs="黑体"/>
          <w:sz w:val="32"/>
          <w:szCs w:val="32"/>
        </w:rPr>
        <w:t>五、资助金额：</w:t>
      </w:r>
      <w:r>
        <w:rPr>
          <w:rFonts w:hint="eastAsia" w:ascii="仿宋_GB2312" w:hAnsi="仿宋_GB2312" w:eastAsia="仿宋_GB2312" w:cs="仿宋_GB2312"/>
          <w:sz w:val="32"/>
          <w:szCs w:val="32"/>
        </w:rPr>
        <w:t>不超过10万元</w:t>
      </w:r>
    </w:p>
    <w:p w14:paraId="1A35D38D">
      <w:pPr>
        <w:rPr>
          <w:rFonts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751625EA">
      <w:pPr>
        <w:adjustRightInd w:val="0"/>
        <w:snapToGrid w:val="0"/>
        <w:spacing w:after="312" w:afterLines="100" w:line="560" w:lineRule="exact"/>
        <w:jc w:val="center"/>
        <w:outlineLvl w:val="0"/>
        <w:rPr>
          <w:rFonts w:ascii="黑体" w:hAnsi="黑体" w:eastAsia="黑体" w:cs="黑体"/>
          <w:b/>
          <w:bCs w:val="0"/>
          <w:sz w:val="32"/>
          <w:szCs w:val="32"/>
        </w:rPr>
      </w:pPr>
      <w:r>
        <w:rPr>
          <w:rFonts w:hint="eastAsia" w:ascii="黑体" w:hAnsi="黑体" w:eastAsia="黑体" w:cs="黑体"/>
          <w:b/>
          <w:sz w:val="32"/>
          <w:szCs w:val="32"/>
          <w:lang w:val="en-US" w:eastAsia="zh-CN"/>
        </w:rPr>
        <w:t>面</w:t>
      </w:r>
      <w:r>
        <w:rPr>
          <w:rFonts w:ascii="黑体" w:hAnsi="黑体" w:eastAsia="黑体" w:cs="黑体"/>
          <w:b/>
          <w:sz w:val="32"/>
          <w:szCs w:val="32"/>
        </w:rPr>
        <w:t>2025040</w:t>
      </w:r>
      <w:r>
        <w:rPr>
          <w:rFonts w:hint="eastAsia" w:ascii="黑体" w:hAnsi="黑体" w:eastAsia="黑体" w:cs="黑体"/>
          <w:b/>
          <w:sz w:val="32"/>
          <w:szCs w:val="32"/>
          <w:lang w:val="en-US" w:eastAsia="zh-CN"/>
        </w:rPr>
        <w:t>19</w:t>
      </w:r>
      <w:r>
        <w:rPr>
          <w:rFonts w:ascii="黑体" w:hAnsi="黑体" w:eastAsia="黑体" w:cs="黑体"/>
          <w:b/>
          <w:sz w:val="32"/>
          <w:szCs w:val="32"/>
        </w:rPr>
        <w:t xml:space="preserve"> </w:t>
      </w:r>
      <w:r>
        <w:rPr>
          <w:rFonts w:hint="eastAsia" w:ascii="黑体" w:hAnsi="黑体" w:eastAsia="黑体" w:cs="黑体"/>
          <w:b/>
          <w:bCs w:val="0"/>
          <w:sz w:val="32"/>
          <w:szCs w:val="32"/>
        </w:rPr>
        <w:t>血管内超声（</w:t>
      </w:r>
      <w:r>
        <w:rPr>
          <w:rFonts w:ascii="黑体" w:hAnsi="黑体" w:eastAsia="黑体" w:cs="黑体"/>
          <w:b/>
          <w:bCs w:val="0"/>
          <w:sz w:val="32"/>
          <w:szCs w:val="32"/>
        </w:rPr>
        <w:t>IVUS）在</w:t>
      </w:r>
      <w:r>
        <w:rPr>
          <w:rFonts w:hint="eastAsia" w:ascii="黑体" w:hAnsi="黑体" w:eastAsia="黑体" w:cs="黑体"/>
          <w:b/>
          <w:bCs w:val="0"/>
          <w:sz w:val="32"/>
          <w:szCs w:val="32"/>
        </w:rPr>
        <w:t>左主干分叉病变中不同回撤路径的测量差异性研究</w:t>
      </w:r>
    </w:p>
    <w:p w14:paraId="2CF35E2E">
      <w:pPr>
        <w:pStyle w:val="10"/>
        <w:ind w:left="429" w:hanging="429" w:firstLineChars="0"/>
        <w:rPr>
          <w:rFonts w:ascii="仿宋_GB2312" w:hAnsi="仿宋_GB2312" w:eastAsia="仿宋_GB2312" w:cs="仿宋_GB2312"/>
          <w:sz w:val="32"/>
          <w:szCs w:val="32"/>
        </w:rPr>
      </w:pPr>
      <w:r>
        <w:rPr>
          <w:rFonts w:hint="eastAsia" w:ascii="黑体" w:hAnsi="黑体" w:eastAsia="黑体" w:cs="黑体"/>
          <w:sz w:val="32"/>
          <w:szCs w:val="32"/>
        </w:rPr>
        <w:t>一、领域：</w:t>
      </w:r>
      <w:r>
        <w:rPr>
          <w:rFonts w:hint="eastAsia" w:ascii="仿宋_GB2312" w:hAnsi="仿宋_GB2312" w:eastAsia="仿宋_GB2312" w:cs="仿宋_GB2312"/>
          <w:sz w:val="32"/>
          <w:szCs w:val="32"/>
        </w:rPr>
        <w:t>影像学</w:t>
      </w:r>
    </w:p>
    <w:p w14:paraId="77B53960">
      <w:pPr>
        <w:pStyle w:val="10"/>
        <w:ind w:left="429" w:hanging="429" w:firstLineChars="0"/>
        <w:rPr>
          <w:rFonts w:ascii="黑体" w:hAnsi="黑体" w:eastAsia="黑体" w:cs="黑体"/>
          <w:sz w:val="32"/>
          <w:szCs w:val="32"/>
        </w:rPr>
      </w:pPr>
      <w:r>
        <w:rPr>
          <w:rFonts w:hint="eastAsia" w:ascii="黑体" w:hAnsi="黑体" w:eastAsia="黑体" w:cs="黑体"/>
          <w:sz w:val="32"/>
          <w:szCs w:val="32"/>
        </w:rPr>
        <w:t>二、主要研究内容</w:t>
      </w:r>
    </w:p>
    <w:p w14:paraId="284FDBC0">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（一）基于高分辨率血管内超声（IVUS），在不同回撤路径（LAD与LCX）下，分别测量LCX开口位置管腔面积及管腔直径，对比测量结果差异。</w:t>
      </w:r>
    </w:p>
    <w:p w14:paraId="5D57089A">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（二）研究IVUS指导冠脉左主干分叉病变治疗的效果，评估左主干分叉病变的形态学特征（如斑块分布、血管直径、钙化情况），指导治疗策略选择以及术后效果；</w:t>
      </w:r>
    </w:p>
    <w:p w14:paraId="3B6CA204">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（三）建立长期随访数据库，分析其对减少</w:t>
      </w:r>
      <w:bookmarkStart w:id="28" w:name="OLE_LINK44"/>
      <w:bookmarkStart w:id="29" w:name="OLE_LINK45"/>
      <w:r>
        <w:rPr>
          <w:rFonts w:hint="eastAsia" w:ascii="仿宋_GB2312" w:hAnsi="仿宋_GB2312" w:eastAsia="仿宋_GB2312" w:cs="仿宋_GB2312"/>
          <w:sz w:val="32"/>
          <w:szCs w:val="32"/>
        </w:rPr>
        <w:t>主要不良心血管事件（MACE）</w:t>
      </w:r>
      <w:bookmarkEnd w:id="28"/>
      <w:bookmarkEnd w:id="29"/>
      <w:r>
        <w:rPr>
          <w:rFonts w:hint="eastAsia" w:ascii="仿宋_GB2312" w:hAnsi="仿宋_GB2312" w:eastAsia="仿宋_GB2312" w:cs="仿宋_GB2312"/>
          <w:sz w:val="32"/>
          <w:szCs w:val="32"/>
        </w:rPr>
        <w:t>的临床价值。</w:t>
      </w:r>
    </w:p>
    <w:p w14:paraId="336D9451">
      <w:pPr>
        <w:pStyle w:val="10"/>
        <w:ind w:left="429" w:hanging="429" w:firstLineChars="0"/>
        <w:rPr>
          <w:rFonts w:ascii="黑体" w:hAnsi="黑体" w:eastAsia="黑体" w:cs="黑体"/>
          <w:sz w:val="32"/>
          <w:szCs w:val="32"/>
        </w:rPr>
      </w:pPr>
      <w:r>
        <w:rPr>
          <w:rFonts w:hint="eastAsia" w:ascii="黑体" w:hAnsi="黑体" w:eastAsia="黑体" w:cs="黑体"/>
          <w:sz w:val="32"/>
          <w:szCs w:val="32"/>
        </w:rPr>
        <w:t>三、项目考核指标（项目执行期内）</w:t>
      </w:r>
    </w:p>
    <w:p w14:paraId="4445C8CE">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1、建立≥50例LCX开口病变的高分辨率（≥60MHz）IVUS影像数据</w:t>
      </w:r>
      <w:bookmarkStart w:id="30" w:name="OLE_LINK43"/>
      <w:bookmarkStart w:id="31" w:name="OLE_LINK42"/>
      <w:r>
        <w:rPr>
          <w:rFonts w:hint="eastAsia" w:ascii="仿宋_GB2312" w:hAnsi="仿宋_GB2312" w:eastAsia="仿宋_GB2312" w:cs="仿宋_GB2312"/>
          <w:sz w:val="32"/>
          <w:szCs w:val="32"/>
        </w:rPr>
        <w:t>库，每例数据需分别包括LAD回撤路径采集图像及LCX回撤路径采集图像</w:t>
      </w:r>
      <w:bookmarkEnd w:id="30"/>
      <w:bookmarkEnd w:id="31"/>
      <w:r>
        <w:rPr>
          <w:rFonts w:hint="eastAsia" w:ascii="仿宋_GB2312" w:hAnsi="仿宋_GB2312" w:eastAsia="仿宋_GB2312" w:cs="仿宋_GB2312"/>
          <w:sz w:val="32"/>
          <w:szCs w:val="32"/>
        </w:rPr>
        <w:t>；</w:t>
      </w:r>
    </w:p>
    <w:p w14:paraId="7EA2560D">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2、对比分析两组的1年期主要不良心血管事件率（MACE），形成≥1份分析评估报告；</w:t>
      </w:r>
    </w:p>
    <w:p w14:paraId="571B3D6F">
      <w:pPr>
        <w:pStyle w:val="10"/>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3、发表学术论文≥1篇。</w:t>
      </w:r>
    </w:p>
    <w:p w14:paraId="683524AC">
      <w:pPr>
        <w:pStyle w:val="10"/>
        <w:ind w:left="429" w:hanging="429" w:firstLineChars="0"/>
        <w:rPr>
          <w:rFonts w:ascii="仿宋_GB2312" w:hAnsi="仿宋_GB2312" w:eastAsia="仿宋_GB2312" w:cs="仿宋_GB2312"/>
          <w:sz w:val="32"/>
          <w:szCs w:val="32"/>
        </w:rPr>
      </w:pPr>
      <w:r>
        <w:rPr>
          <w:rFonts w:hint="eastAsia" w:ascii="黑体" w:hAnsi="黑体" w:eastAsia="黑体" w:cs="黑体"/>
          <w:sz w:val="32"/>
          <w:szCs w:val="32"/>
        </w:rPr>
        <w:t>四、项目实施年限：</w:t>
      </w:r>
      <w:r>
        <w:rPr>
          <w:rFonts w:hint="eastAsia" w:ascii="仿宋_GB2312" w:hAnsi="仿宋_GB2312" w:eastAsia="仿宋_GB2312" w:cs="仿宋_GB2312"/>
          <w:sz w:val="32"/>
          <w:szCs w:val="32"/>
        </w:rPr>
        <w:t>2年</w:t>
      </w:r>
    </w:p>
    <w:p w14:paraId="7EB72CC0">
      <w:pPr>
        <w:rPr>
          <w:rFonts w:ascii="仿宋_GB2312" w:hAnsi="仿宋_GB2312" w:eastAsia="仿宋_GB2312" w:cs="仿宋_GB2312"/>
          <w:sz w:val="32"/>
          <w:szCs w:val="32"/>
        </w:rPr>
      </w:pPr>
      <w:r>
        <w:rPr>
          <w:rFonts w:hint="eastAsia" w:ascii="黑体" w:hAnsi="黑体" w:eastAsia="黑体" w:cs="黑体"/>
          <w:sz w:val="32"/>
          <w:szCs w:val="32"/>
        </w:rPr>
        <w:t>五、资助金额：</w:t>
      </w:r>
      <w:r>
        <w:rPr>
          <w:rFonts w:hint="eastAsia" w:ascii="仿宋_GB2312" w:hAnsi="仿宋_GB2312" w:eastAsia="仿宋_GB2312" w:cs="仿宋_GB2312"/>
          <w:sz w:val="32"/>
          <w:szCs w:val="32"/>
        </w:rPr>
        <w:t>不超过10万元</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608"/>
    <w:rsid w:val="00175AF3"/>
    <w:rsid w:val="001840D7"/>
    <w:rsid w:val="00267C62"/>
    <w:rsid w:val="00321936"/>
    <w:rsid w:val="0039266E"/>
    <w:rsid w:val="004017CE"/>
    <w:rsid w:val="0042543A"/>
    <w:rsid w:val="004308FC"/>
    <w:rsid w:val="005C03A1"/>
    <w:rsid w:val="00671705"/>
    <w:rsid w:val="007D1888"/>
    <w:rsid w:val="008B7BED"/>
    <w:rsid w:val="00913608"/>
    <w:rsid w:val="009E5E45"/>
    <w:rsid w:val="00AF2C37"/>
    <w:rsid w:val="00B5312D"/>
    <w:rsid w:val="00B92799"/>
    <w:rsid w:val="00BA1FA9"/>
    <w:rsid w:val="00BA369F"/>
    <w:rsid w:val="00C34739"/>
    <w:rsid w:val="00DA00FD"/>
    <w:rsid w:val="00DF4A43"/>
    <w:rsid w:val="00E05A48"/>
    <w:rsid w:val="052038B1"/>
    <w:rsid w:val="388A2B93"/>
    <w:rsid w:val="500F629E"/>
    <w:rsid w:val="569315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character" w:styleId="9">
    <w:name w:val="annotation reference"/>
    <w:basedOn w:val="8"/>
    <w:semiHidden/>
    <w:unhideWhenUsed/>
    <w:qFormat/>
    <w:uiPriority w:val="99"/>
    <w:rPr>
      <w:sz w:val="21"/>
      <w:szCs w:val="21"/>
    </w:rPr>
  </w:style>
  <w:style w:type="paragraph" w:styleId="10">
    <w:name w:val="List Paragraph"/>
    <w:basedOn w:val="1"/>
    <w:qFormat/>
    <w:uiPriority w:val="34"/>
    <w:pPr>
      <w:ind w:firstLine="420" w:firstLineChars="200"/>
    </w:pPr>
  </w:style>
  <w:style w:type="character" w:customStyle="1" w:styleId="11">
    <w:name w:val="页眉 字符"/>
    <w:basedOn w:val="8"/>
    <w:link w:val="5"/>
    <w:qFormat/>
    <w:uiPriority w:val="99"/>
    <w:rPr>
      <w:sz w:val="18"/>
      <w:szCs w:val="18"/>
    </w:rPr>
  </w:style>
  <w:style w:type="character" w:customStyle="1" w:styleId="12">
    <w:name w:val="页脚 字符"/>
    <w:basedOn w:val="8"/>
    <w:link w:val="4"/>
    <w:qFormat/>
    <w:uiPriority w:val="99"/>
    <w:rPr>
      <w:sz w:val="18"/>
      <w:szCs w:val="18"/>
    </w:rPr>
  </w:style>
  <w:style w:type="character" w:customStyle="1" w:styleId="13">
    <w:name w:val="批注框文本 字符"/>
    <w:basedOn w:val="8"/>
    <w:link w:val="3"/>
    <w:semiHidden/>
    <w:qFormat/>
    <w:uiPriority w:val="99"/>
    <w:rPr>
      <w:kern w:val="2"/>
      <w:sz w:val="18"/>
      <w:szCs w:val="18"/>
    </w:rPr>
  </w:style>
  <w:style w:type="character" w:customStyle="1" w:styleId="14">
    <w:name w:val="批注文字 字符"/>
    <w:basedOn w:val="8"/>
    <w:link w:val="2"/>
    <w:semiHidden/>
    <w:qFormat/>
    <w:uiPriority w:val="99"/>
    <w:rPr>
      <w:kern w:val="2"/>
      <w:sz w:val="21"/>
      <w:szCs w:val="22"/>
    </w:rPr>
  </w:style>
  <w:style w:type="character" w:customStyle="1" w:styleId="15">
    <w:name w:val="批注主题 字符"/>
    <w:basedOn w:val="14"/>
    <w:link w:val="6"/>
    <w:semiHidden/>
    <w:qFormat/>
    <w:uiPriority w:val="99"/>
    <w:rPr>
      <w:b/>
      <w:bCs/>
      <w:kern w:val="2"/>
      <w:sz w:val="21"/>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3971</Words>
  <Characters>4506</Characters>
  <Lines>33</Lines>
  <Paragraphs>9</Paragraphs>
  <TotalTime>4</TotalTime>
  <ScaleCrop>false</ScaleCrop>
  <LinksUpToDate>false</LinksUpToDate>
  <CharactersWithSpaces>4533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2025-04-17T08:23:00Z</dcterms:created>
  <dc:creator>xsw</dc:creator>
  <cp:lastModifiedBy>Elfinsword、</cp:lastModifiedBy>
  <dcterms:modified xsi:type="dcterms:W3CDTF">2025-04-18T06:55:44Z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eyJoZGlkIjoiNjU3NzY3ZDVhNmYxZDhkNDQ2NTlmZDhiM2QxMGFlODAiLCJ1c2VySWQiOiIzNTE1MjMxMzUifQ==</vt:lpwstr>
  </property>
  <property fmtid="{D5CDD505-2E9C-101B-9397-08002B2CF9AE}" pid="3" name="KSOProductBuildVer">
    <vt:lpwstr>2052-12.1.0.20784</vt:lpwstr>
  </property>
  <property fmtid="{D5CDD505-2E9C-101B-9397-08002B2CF9AE}" pid="4" name="ICV">
    <vt:lpwstr>E777E83AFD374A3AA825F7F4CCB8E666_13</vt:lpwstr>
  </property>
</Properties>
</file>