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74B41B">
      <w:pPr>
        <w:pStyle w:val="3"/>
        <w:spacing w:before="120" w:line="560" w:lineRule="exact"/>
        <w:ind w:right="17"/>
        <w:jc w:val="center"/>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bCs/>
          <w:spacing w:val="8"/>
          <w:sz w:val="32"/>
          <w:szCs w:val="32"/>
          <w:lang w:val="en-US" w:eastAsia="zh-CN"/>
        </w:rPr>
        <w:t>开</w:t>
      </w:r>
      <w:r>
        <w:rPr>
          <w:rFonts w:hint="eastAsia" w:ascii="黑体" w:hAnsi="黑体" w:eastAsia="黑体" w:cs="黑体"/>
          <w:b/>
          <w:bCs/>
          <w:spacing w:val="8"/>
          <w:sz w:val="32"/>
          <w:szCs w:val="32"/>
          <w:lang w:eastAsia="zh-CN"/>
        </w:rPr>
        <w:t>20250</w:t>
      </w:r>
      <w:r>
        <w:rPr>
          <w:rFonts w:hint="eastAsia" w:ascii="黑体" w:hAnsi="黑体" w:eastAsia="黑体" w:cs="黑体"/>
          <w:b/>
          <w:bCs/>
          <w:spacing w:val="8"/>
          <w:sz w:val="32"/>
          <w:szCs w:val="32"/>
          <w:lang w:val="en-US" w:eastAsia="zh-CN"/>
        </w:rPr>
        <w:t>4</w:t>
      </w:r>
      <w:r>
        <w:rPr>
          <w:rFonts w:hint="eastAsia" w:ascii="黑体" w:hAnsi="黑体" w:eastAsia="黑体" w:cs="黑体"/>
          <w:b/>
          <w:bCs/>
          <w:spacing w:val="8"/>
          <w:sz w:val="32"/>
          <w:szCs w:val="32"/>
          <w:lang w:eastAsia="zh-CN"/>
        </w:rPr>
        <w:t>001 基于多维标志物的深静脉血栓风险评估与早期诊断模型构建</w:t>
      </w:r>
    </w:p>
    <w:p w14:paraId="62B21761">
      <w:pPr>
        <w:pStyle w:val="3"/>
        <w:spacing w:before="120" w:line="560" w:lineRule="exact"/>
        <w:ind w:right="17"/>
        <w:jc w:val="left"/>
        <w:rPr>
          <w:rFonts w:hint="eastAsia" w:ascii="黑体" w:hAnsi="黑体" w:eastAsia="黑体" w:cs="黑体"/>
          <w:b w:val="0"/>
          <w:bCs w:val="0"/>
          <w:spacing w:val="8"/>
          <w:sz w:val="32"/>
          <w:szCs w:val="32"/>
          <w:lang w:eastAsia="zh-CN"/>
        </w:rPr>
      </w:pPr>
      <w:r>
        <w:rPr>
          <w:rFonts w:hint="eastAsia" w:ascii="黑体" w:hAnsi="黑体" w:eastAsia="黑体" w:cs="黑体"/>
          <w:b w:val="0"/>
          <w:bCs w:val="0"/>
          <w:spacing w:val="8"/>
          <w:sz w:val="32"/>
          <w:szCs w:val="32"/>
          <w:lang w:eastAsia="zh-CN"/>
        </w:rPr>
        <w:t>一、领域：</w:t>
      </w:r>
      <w:bookmarkStart w:id="0" w:name="_GoBack"/>
      <w:r>
        <w:rPr>
          <w:rFonts w:hint="eastAsia" w:ascii="仿宋_GB2312" w:hAnsi="仿宋_GB2312" w:eastAsia="仿宋_GB2312" w:cs="仿宋_GB2312"/>
          <w:b w:val="0"/>
          <w:bCs w:val="0"/>
          <w:spacing w:val="8"/>
          <w:sz w:val="32"/>
          <w:szCs w:val="32"/>
          <w:lang w:eastAsia="zh-CN"/>
        </w:rPr>
        <w:t>凝血</w:t>
      </w:r>
      <w:bookmarkEnd w:id="0"/>
    </w:p>
    <w:p w14:paraId="17BFDEBA">
      <w:pPr>
        <w:pStyle w:val="3"/>
        <w:spacing w:before="120" w:line="560" w:lineRule="exact"/>
        <w:ind w:right="17"/>
        <w:jc w:val="left"/>
        <w:rPr>
          <w:rFonts w:hint="eastAsia" w:ascii="黑体" w:hAnsi="黑体" w:eastAsia="黑体" w:cs="黑体"/>
          <w:b w:val="0"/>
          <w:bCs w:val="0"/>
          <w:spacing w:val="8"/>
          <w:sz w:val="32"/>
          <w:szCs w:val="32"/>
          <w:lang w:eastAsia="zh-CN"/>
        </w:rPr>
      </w:pPr>
      <w:r>
        <w:rPr>
          <w:rFonts w:hint="eastAsia" w:ascii="黑体" w:hAnsi="黑体" w:eastAsia="黑体" w:cs="黑体"/>
          <w:b w:val="0"/>
          <w:bCs w:val="0"/>
          <w:spacing w:val="8"/>
          <w:sz w:val="32"/>
          <w:szCs w:val="32"/>
          <w:lang w:eastAsia="zh-CN"/>
        </w:rPr>
        <w:t>二、主要研究内容</w:t>
      </w:r>
    </w:p>
    <w:p w14:paraId="076A7ACD">
      <w:pPr>
        <w:pStyle w:val="3"/>
        <w:spacing w:before="120" w:line="560" w:lineRule="exact"/>
        <w:ind w:right="17" w:firstLine="672" w:firstLineChars="200"/>
        <w:jc w:val="left"/>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本研究聚焦于成年深静脉血栓（DVT），旨在筛选并验证多维标志物，构建 DVT 风险评估与早期诊断模型，优化现有评分系统，提升诊断效率与预测能力。</w:t>
      </w:r>
    </w:p>
    <w:p w14:paraId="47F53652">
      <w:pPr>
        <w:pStyle w:val="3"/>
        <w:spacing w:before="120" w:line="560" w:lineRule="exact"/>
        <w:ind w:right="17"/>
        <w:jc w:val="left"/>
        <w:rPr>
          <w:rFonts w:hint="eastAsia" w:ascii="黑体" w:hAnsi="黑体" w:eastAsia="黑体" w:cs="黑体"/>
          <w:b w:val="0"/>
          <w:bCs w:val="0"/>
          <w:spacing w:val="8"/>
          <w:sz w:val="32"/>
          <w:szCs w:val="32"/>
          <w:lang w:eastAsia="zh-CN"/>
        </w:rPr>
      </w:pPr>
      <w:r>
        <w:rPr>
          <w:rFonts w:hint="eastAsia" w:ascii="黑体" w:hAnsi="黑体" w:eastAsia="黑体" w:cs="黑体"/>
          <w:b w:val="0"/>
          <w:bCs w:val="0"/>
          <w:spacing w:val="8"/>
          <w:sz w:val="32"/>
          <w:szCs w:val="32"/>
          <w:lang w:eastAsia="zh-CN"/>
        </w:rPr>
        <w:t>三、项目考核指标（项目执行期内）</w:t>
      </w:r>
    </w:p>
    <w:p w14:paraId="4669A683">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（一）学术指标：</w:t>
      </w:r>
    </w:p>
    <w:p w14:paraId="539F88A1">
      <w:pPr>
        <w:pStyle w:val="3"/>
        <w:spacing w:before="120" w:line="560" w:lineRule="exact"/>
        <w:ind w:right="17" w:firstLine="672" w:firstLineChars="200"/>
        <w:jc w:val="left"/>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发表中文或SCI论文≥2篇；</w:t>
      </w:r>
    </w:p>
    <w:p w14:paraId="2F0D1C9A">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w:t>
      </w:r>
      <w:r>
        <w:rPr>
          <w:rFonts w:hint="eastAsia" w:ascii="仿宋_GB2312" w:hAnsi="仿宋_GB2312" w:eastAsia="仿宋_GB2312" w:cs="仿宋_GB2312"/>
          <w:b w:val="0"/>
          <w:bCs w:val="0"/>
          <w:spacing w:val="8"/>
          <w:sz w:val="32"/>
          <w:szCs w:val="32"/>
          <w:lang w:val="en-US" w:eastAsia="zh-CN"/>
        </w:rPr>
        <w:t>二</w:t>
      </w:r>
      <w:r>
        <w:rPr>
          <w:rFonts w:hint="eastAsia" w:ascii="仿宋_GB2312" w:hAnsi="仿宋_GB2312" w:eastAsia="仿宋_GB2312" w:cs="仿宋_GB2312"/>
          <w:b w:val="0"/>
          <w:bCs w:val="0"/>
          <w:spacing w:val="8"/>
          <w:sz w:val="32"/>
          <w:szCs w:val="32"/>
          <w:lang w:eastAsia="zh-CN"/>
        </w:rPr>
        <w:t>）</w:t>
      </w:r>
      <w:r>
        <w:rPr>
          <w:rFonts w:hint="eastAsia" w:ascii="仿宋_GB2312" w:hAnsi="仿宋_GB2312" w:eastAsia="仿宋_GB2312" w:cs="仿宋_GB2312"/>
          <w:b w:val="0"/>
          <w:bCs w:val="0"/>
          <w:spacing w:val="8"/>
          <w:sz w:val="32"/>
          <w:szCs w:val="32"/>
          <w:lang w:val="en-US" w:eastAsia="zh-CN"/>
        </w:rPr>
        <w:t>技术</w:t>
      </w:r>
      <w:r>
        <w:rPr>
          <w:rFonts w:hint="eastAsia" w:ascii="仿宋_GB2312" w:hAnsi="仿宋_GB2312" w:eastAsia="仿宋_GB2312" w:cs="仿宋_GB2312"/>
          <w:b w:val="0"/>
          <w:bCs w:val="0"/>
          <w:spacing w:val="8"/>
          <w:sz w:val="32"/>
          <w:szCs w:val="32"/>
          <w:lang w:eastAsia="zh-CN"/>
        </w:rPr>
        <w:t>指标：</w:t>
      </w:r>
    </w:p>
    <w:p w14:paraId="5E97A603">
      <w:pPr>
        <w:pStyle w:val="3"/>
        <w:spacing w:before="120" w:line="560" w:lineRule="exact"/>
        <w:ind w:right="17" w:firstLine="672" w:firstLineChars="200"/>
        <w:jc w:val="left"/>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收集深静脉血栓确诊组、疑似组和健康对照组血液样本，每组不少于100例。检测分析多项生物标志物，包括凝血功能指标、血栓标志物、炎症标志物和DVT风险评分指标等，并生成基于多维标志物的DVT风险评估与早期诊断模型评估报告</w:t>
      </w:r>
      <w:r>
        <w:rPr>
          <w:rFonts w:hint="eastAsia" w:ascii="仿宋_GB2312" w:hAnsi="仿宋_GB2312" w:eastAsia="仿宋_GB2312" w:cs="仿宋_GB2312"/>
          <w:b w:val="0"/>
          <w:bCs w:val="0"/>
          <w:spacing w:val="8"/>
          <w:sz w:val="32"/>
          <w:szCs w:val="32"/>
          <w:lang w:val="en-US" w:eastAsia="zh-CN"/>
        </w:rPr>
        <w:t>≥1</w:t>
      </w:r>
      <w:r>
        <w:rPr>
          <w:rFonts w:hint="eastAsia" w:ascii="仿宋_GB2312" w:hAnsi="仿宋_GB2312" w:eastAsia="仿宋_GB2312" w:cs="仿宋_GB2312"/>
          <w:b w:val="0"/>
          <w:bCs w:val="0"/>
          <w:spacing w:val="8"/>
          <w:sz w:val="32"/>
          <w:szCs w:val="32"/>
          <w:lang w:eastAsia="zh-CN"/>
        </w:rPr>
        <w:t>份。</w:t>
      </w:r>
    </w:p>
    <w:p w14:paraId="6B197A37">
      <w:pPr>
        <w:pStyle w:val="3"/>
        <w:spacing w:before="120" w:line="560" w:lineRule="exact"/>
        <w:ind w:right="17"/>
        <w:jc w:val="left"/>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val="0"/>
          <w:bCs w:val="0"/>
          <w:spacing w:val="8"/>
          <w:sz w:val="32"/>
          <w:szCs w:val="32"/>
          <w:lang w:eastAsia="zh-CN"/>
        </w:rPr>
        <w:t>四、项目实施年限：</w:t>
      </w:r>
      <w:r>
        <w:rPr>
          <w:rFonts w:hint="eastAsia" w:ascii="仿宋_GB2312" w:hAnsi="仿宋_GB2312" w:eastAsia="仿宋_GB2312" w:cs="仿宋_GB2312"/>
          <w:b w:val="0"/>
          <w:bCs w:val="0"/>
          <w:spacing w:val="8"/>
          <w:sz w:val="32"/>
          <w:szCs w:val="32"/>
          <w:lang w:eastAsia="zh-CN"/>
        </w:rPr>
        <w:t>不超过2年</w:t>
      </w:r>
    </w:p>
    <w:p w14:paraId="3A94CE0F">
      <w:pPr>
        <w:spacing w:before="91" w:line="560" w:lineRule="exact"/>
        <w:ind w:right="248"/>
        <w:jc w:val="left"/>
        <w:outlineLvl w:val="0"/>
        <w:rPr>
          <w:rFonts w:hint="eastAsia" w:ascii="仿宋_GB2312" w:hAnsi="仿宋_GB2312" w:eastAsia="仿宋_GB2312" w:cs="仿宋_GB2312"/>
          <w:b w:val="0"/>
          <w:bCs w:val="0"/>
          <w:spacing w:val="19"/>
          <w:sz w:val="32"/>
          <w:szCs w:val="32"/>
          <w:lang w:eastAsia="zh-CN"/>
        </w:rPr>
      </w:pPr>
      <w:r>
        <w:rPr>
          <w:rFonts w:hint="eastAsia" w:ascii="黑体" w:hAnsi="黑体" w:eastAsia="黑体" w:cs="黑体"/>
          <w:b w:val="0"/>
          <w:bCs w:val="0"/>
          <w:spacing w:val="8"/>
          <w:sz w:val="32"/>
          <w:szCs w:val="32"/>
          <w:lang w:eastAsia="zh-CN"/>
        </w:rPr>
        <w:t>五、资助金额：</w:t>
      </w:r>
      <w:r>
        <w:rPr>
          <w:rFonts w:hint="eastAsia" w:ascii="仿宋_GB2312" w:hAnsi="仿宋_GB2312" w:eastAsia="仿宋_GB2312" w:cs="仿宋_GB2312"/>
          <w:b w:val="0"/>
          <w:bCs w:val="0"/>
          <w:spacing w:val="8"/>
          <w:sz w:val="32"/>
          <w:szCs w:val="32"/>
          <w:lang w:eastAsia="zh-CN"/>
        </w:rPr>
        <w:t>不超过50万元（多中心临床研究，参与单位不超过10家，每家经费不超过10万）</w:t>
      </w:r>
    </w:p>
    <w:p w14:paraId="54F86DB8">
      <w:pPr>
        <w:pStyle w:val="3"/>
        <w:spacing w:before="47" w:line="560" w:lineRule="exact"/>
        <w:ind w:right="19"/>
        <w:jc w:val="center"/>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bCs/>
          <w:spacing w:val="8"/>
          <w:sz w:val="32"/>
          <w:szCs w:val="32"/>
          <w:lang w:val="en-US" w:eastAsia="zh-CN"/>
        </w:rPr>
        <w:t>开</w:t>
      </w:r>
      <w:r>
        <w:rPr>
          <w:rFonts w:hint="eastAsia" w:ascii="黑体" w:hAnsi="黑体" w:eastAsia="黑体" w:cs="黑体"/>
          <w:b/>
          <w:bCs/>
          <w:spacing w:val="8"/>
          <w:sz w:val="32"/>
          <w:szCs w:val="32"/>
          <w:lang w:eastAsia="zh-CN"/>
        </w:rPr>
        <w:t>20250</w:t>
      </w:r>
      <w:r>
        <w:rPr>
          <w:rFonts w:hint="eastAsia" w:ascii="黑体" w:hAnsi="黑体" w:eastAsia="黑体" w:cs="黑体"/>
          <w:b/>
          <w:bCs/>
          <w:spacing w:val="8"/>
          <w:sz w:val="32"/>
          <w:szCs w:val="32"/>
          <w:lang w:val="en-US" w:eastAsia="zh-CN"/>
        </w:rPr>
        <w:t>4</w:t>
      </w:r>
      <w:r>
        <w:rPr>
          <w:rFonts w:hint="eastAsia" w:ascii="黑体" w:hAnsi="黑体" w:eastAsia="黑体" w:cs="黑体"/>
          <w:b/>
          <w:bCs/>
          <w:spacing w:val="8"/>
          <w:sz w:val="32"/>
          <w:szCs w:val="32"/>
          <w:lang w:eastAsia="zh-CN"/>
        </w:rPr>
        <w:t>00</w:t>
      </w:r>
      <w:r>
        <w:rPr>
          <w:rFonts w:hint="eastAsia" w:ascii="黑体" w:hAnsi="黑体" w:eastAsia="黑体" w:cs="黑体"/>
          <w:b/>
          <w:bCs/>
          <w:spacing w:val="8"/>
          <w:sz w:val="32"/>
          <w:szCs w:val="32"/>
          <w:lang w:val="en-US" w:eastAsia="zh-CN"/>
        </w:rPr>
        <w:t>2</w:t>
      </w:r>
      <w:r>
        <w:rPr>
          <w:rFonts w:hint="eastAsia" w:ascii="黑体" w:hAnsi="黑体" w:eastAsia="黑体" w:cs="黑体"/>
          <w:b/>
          <w:bCs/>
          <w:spacing w:val="8"/>
          <w:sz w:val="32"/>
          <w:szCs w:val="32"/>
          <w:lang w:eastAsia="zh-CN"/>
        </w:rPr>
        <w:t xml:space="preserve"> 基于机器学习的儿童营养状况评估模型建立与应用</w:t>
      </w:r>
    </w:p>
    <w:p w14:paraId="1F970687">
      <w:pPr>
        <w:pStyle w:val="3"/>
        <w:spacing w:before="47" w:line="560" w:lineRule="exact"/>
        <w:ind w:right="19"/>
        <w:jc w:val="left"/>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val="0"/>
          <w:bCs w:val="0"/>
          <w:spacing w:val="8"/>
          <w:sz w:val="32"/>
          <w:szCs w:val="32"/>
          <w:lang w:eastAsia="zh-CN"/>
        </w:rPr>
        <w:t>一、领域：</w:t>
      </w:r>
      <w:r>
        <w:rPr>
          <w:rFonts w:hint="eastAsia" w:ascii="仿宋_GB2312" w:hAnsi="仿宋_GB2312" w:eastAsia="仿宋_GB2312" w:cs="仿宋_GB2312"/>
          <w:b w:val="0"/>
          <w:bCs w:val="0"/>
          <w:spacing w:val="8"/>
          <w:sz w:val="32"/>
          <w:szCs w:val="32"/>
          <w:lang w:eastAsia="zh-CN"/>
        </w:rPr>
        <w:t>机器学习、生化、儿童营养</w:t>
      </w:r>
    </w:p>
    <w:p w14:paraId="6B00B21E">
      <w:pPr>
        <w:pStyle w:val="3"/>
        <w:spacing w:before="47" w:line="560" w:lineRule="exact"/>
        <w:ind w:right="19"/>
        <w:jc w:val="left"/>
        <w:rPr>
          <w:rFonts w:hint="eastAsia" w:ascii="黑体" w:hAnsi="黑体" w:eastAsia="黑体" w:cs="黑体"/>
          <w:b w:val="0"/>
          <w:bCs w:val="0"/>
          <w:spacing w:val="8"/>
          <w:sz w:val="32"/>
          <w:szCs w:val="32"/>
          <w:lang w:eastAsia="zh-CN"/>
        </w:rPr>
      </w:pPr>
      <w:r>
        <w:rPr>
          <w:rFonts w:hint="eastAsia" w:ascii="黑体" w:hAnsi="黑体" w:eastAsia="黑体" w:cs="黑体"/>
          <w:b w:val="0"/>
          <w:bCs w:val="0"/>
          <w:spacing w:val="8"/>
          <w:sz w:val="32"/>
          <w:szCs w:val="32"/>
          <w:lang w:eastAsia="zh-CN"/>
        </w:rPr>
        <w:t>二、主要研究内容</w:t>
      </w:r>
    </w:p>
    <w:p w14:paraId="21498928">
      <w:pPr>
        <w:pStyle w:val="3"/>
        <w:spacing w:before="47" w:line="560" w:lineRule="exact"/>
        <w:ind w:right="19" w:firstLine="672" w:firstLineChars="200"/>
        <w:jc w:val="left"/>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随着社会经济的快速发展，人民物质水平日益提高，高热量、高脂、高糖等的食物过量摄入引起儿童超重肥胖问题日益凸显。开展血液中营养与代谢相关生化指标在预测儿童营养状况的相关研究。研究内容要覆盖尽量多的不同营养水平儿童受试者类型，可采用身体质量指数（BMI）协助分组；</w:t>
      </w:r>
    </w:p>
    <w:p w14:paraId="50AAAC48">
      <w:pPr>
        <w:pStyle w:val="3"/>
        <w:spacing w:before="47" w:line="560" w:lineRule="exact"/>
        <w:ind w:right="19"/>
        <w:jc w:val="left"/>
        <w:rPr>
          <w:rFonts w:hint="eastAsia" w:ascii="黑体" w:hAnsi="黑体" w:eastAsia="黑体" w:cs="黑体"/>
          <w:b w:val="0"/>
          <w:bCs w:val="0"/>
          <w:spacing w:val="8"/>
          <w:sz w:val="32"/>
          <w:szCs w:val="32"/>
          <w:lang w:eastAsia="zh-CN"/>
        </w:rPr>
      </w:pPr>
      <w:r>
        <w:rPr>
          <w:rFonts w:hint="eastAsia" w:ascii="黑体" w:hAnsi="黑体" w:eastAsia="黑体" w:cs="黑体"/>
          <w:b w:val="0"/>
          <w:bCs w:val="0"/>
          <w:spacing w:val="8"/>
          <w:sz w:val="32"/>
          <w:szCs w:val="32"/>
          <w:lang w:eastAsia="zh-CN"/>
        </w:rPr>
        <w:t>三、项目考核指标（项目执行期内）</w:t>
      </w:r>
    </w:p>
    <w:p w14:paraId="20335DCF">
      <w:pPr>
        <w:pStyle w:val="3"/>
        <w:spacing w:before="47" w:line="560" w:lineRule="exact"/>
        <w:ind w:right="19" w:firstLine="672" w:firstLineChars="200"/>
        <w:jc w:val="left"/>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（一）学术指标：</w:t>
      </w:r>
    </w:p>
    <w:p w14:paraId="51920E8B">
      <w:pPr>
        <w:pStyle w:val="3"/>
        <w:spacing w:before="47" w:line="560" w:lineRule="exact"/>
        <w:ind w:right="19" w:firstLine="672" w:firstLineChars="200"/>
        <w:jc w:val="left"/>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共同发表中文或SCI论文≥1篇；</w:t>
      </w:r>
    </w:p>
    <w:p w14:paraId="647D9ACA">
      <w:pPr>
        <w:pStyle w:val="3"/>
        <w:spacing w:before="47" w:line="560" w:lineRule="exact"/>
        <w:ind w:right="19" w:firstLine="672" w:firstLineChars="200"/>
        <w:jc w:val="left"/>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（二）技术指标：</w:t>
      </w:r>
    </w:p>
    <w:p w14:paraId="4AF741A3">
      <w:pPr>
        <w:pStyle w:val="3"/>
        <w:spacing w:before="47" w:line="560" w:lineRule="exact"/>
        <w:ind w:right="19" w:firstLine="672" w:firstLineChars="200"/>
        <w:jc w:val="left"/>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基于儿童的临床数据，包括临床一般资料、既往病史、血液生化指标等相关指标数据的研究，建立儿童早期营养不良诊断的最优机器学习算法模型，输出分析儿童生长发育过程中营养不良相关风险因素的评估报告</w:t>
      </w:r>
      <w:r>
        <w:rPr>
          <w:rFonts w:hint="eastAsia" w:ascii="仿宋_GB2312" w:hAnsi="仿宋_GB2312" w:eastAsia="仿宋_GB2312" w:cs="仿宋_GB2312"/>
          <w:b w:val="0"/>
          <w:bCs w:val="0"/>
          <w:spacing w:val="8"/>
          <w:sz w:val="32"/>
          <w:szCs w:val="32"/>
          <w:lang w:val="en-US" w:eastAsia="zh-CN"/>
        </w:rPr>
        <w:t>≥1</w:t>
      </w:r>
      <w:r>
        <w:rPr>
          <w:rFonts w:hint="eastAsia" w:ascii="仿宋_GB2312" w:hAnsi="仿宋_GB2312" w:eastAsia="仿宋_GB2312" w:cs="仿宋_GB2312"/>
          <w:b w:val="0"/>
          <w:bCs w:val="0"/>
          <w:spacing w:val="8"/>
          <w:sz w:val="32"/>
          <w:szCs w:val="32"/>
          <w:lang w:eastAsia="zh-CN"/>
        </w:rPr>
        <w:t>份。</w:t>
      </w:r>
    </w:p>
    <w:p w14:paraId="0F5D0116">
      <w:pPr>
        <w:pStyle w:val="3"/>
        <w:spacing w:before="47" w:line="560" w:lineRule="exact"/>
        <w:ind w:right="19"/>
        <w:jc w:val="left"/>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val="0"/>
          <w:bCs w:val="0"/>
          <w:spacing w:val="8"/>
          <w:sz w:val="32"/>
          <w:szCs w:val="32"/>
          <w:lang w:eastAsia="zh-CN"/>
        </w:rPr>
        <w:t>四、项目实施年限：</w:t>
      </w:r>
      <w:r>
        <w:rPr>
          <w:rFonts w:hint="eastAsia" w:ascii="仿宋_GB2312" w:hAnsi="仿宋_GB2312" w:eastAsia="仿宋_GB2312" w:cs="仿宋_GB2312"/>
          <w:b w:val="0"/>
          <w:bCs w:val="0"/>
          <w:spacing w:val="8"/>
          <w:sz w:val="32"/>
          <w:szCs w:val="32"/>
          <w:lang w:eastAsia="zh-CN"/>
        </w:rPr>
        <w:t>不超过2年</w:t>
      </w:r>
    </w:p>
    <w:p w14:paraId="69284F06">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val="0"/>
          <w:bCs w:val="0"/>
          <w:spacing w:val="8"/>
          <w:sz w:val="32"/>
          <w:szCs w:val="32"/>
          <w:lang w:eastAsia="zh-CN"/>
        </w:rPr>
        <w:t>五、资助金额：</w:t>
      </w:r>
      <w:r>
        <w:rPr>
          <w:rFonts w:hint="eastAsia" w:ascii="仿宋_GB2312" w:hAnsi="仿宋_GB2312" w:eastAsia="仿宋_GB2312" w:cs="仿宋_GB2312"/>
          <w:b w:val="0"/>
          <w:bCs w:val="0"/>
          <w:spacing w:val="8"/>
          <w:sz w:val="32"/>
          <w:szCs w:val="32"/>
          <w:lang w:eastAsia="zh-CN"/>
        </w:rPr>
        <w:t>不超过20万元（多中心临床研究，不超过10家单位，每家单位不超过2万元）</w:t>
      </w:r>
    </w:p>
    <w:p w14:paraId="57E0AEEE">
      <w:pPr>
        <w:spacing w:before="91" w:line="560" w:lineRule="exact"/>
        <w:ind w:right="248"/>
        <w:outlineLvl w:val="0"/>
        <w:rPr>
          <w:rFonts w:hint="eastAsia" w:ascii="仿宋_GB2312" w:hAnsi="仿宋_GB2312" w:eastAsia="仿宋_GB2312" w:cs="仿宋_GB2312"/>
          <w:b w:val="0"/>
          <w:bCs w:val="0"/>
          <w:spacing w:val="19"/>
          <w:sz w:val="32"/>
          <w:szCs w:val="32"/>
          <w:lang w:eastAsia="zh-CN"/>
        </w:rPr>
      </w:pPr>
    </w:p>
    <w:p w14:paraId="7FB34AE1">
      <w:pPr>
        <w:pStyle w:val="3"/>
        <w:spacing w:before="47" w:line="560" w:lineRule="exact"/>
        <w:ind w:left="30" w:right="19"/>
        <w:jc w:val="center"/>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bCs/>
          <w:spacing w:val="8"/>
          <w:sz w:val="32"/>
          <w:szCs w:val="32"/>
          <w:lang w:val="en-US" w:eastAsia="zh-CN"/>
        </w:rPr>
        <w:t>开</w:t>
      </w:r>
      <w:r>
        <w:rPr>
          <w:rFonts w:hint="eastAsia" w:ascii="黑体" w:hAnsi="黑体" w:eastAsia="黑体" w:cs="黑体"/>
          <w:b/>
          <w:bCs/>
          <w:spacing w:val="8"/>
          <w:sz w:val="32"/>
          <w:szCs w:val="32"/>
          <w:lang w:eastAsia="zh-CN"/>
        </w:rPr>
        <w:t>20250</w:t>
      </w:r>
      <w:r>
        <w:rPr>
          <w:rFonts w:hint="eastAsia" w:ascii="黑体" w:hAnsi="黑体" w:eastAsia="黑体" w:cs="黑体"/>
          <w:b/>
          <w:bCs/>
          <w:spacing w:val="8"/>
          <w:sz w:val="32"/>
          <w:szCs w:val="32"/>
          <w:lang w:val="en-US" w:eastAsia="zh-CN"/>
        </w:rPr>
        <w:t>4</w:t>
      </w:r>
      <w:r>
        <w:rPr>
          <w:rFonts w:hint="eastAsia" w:ascii="黑体" w:hAnsi="黑体" w:eastAsia="黑体" w:cs="黑体"/>
          <w:b/>
          <w:bCs/>
          <w:spacing w:val="8"/>
          <w:sz w:val="32"/>
          <w:szCs w:val="32"/>
          <w:lang w:eastAsia="zh-CN"/>
        </w:rPr>
        <w:t>003 人工智能辅助外周血形态学诊断在儿童血液系统疾病中的应用价值</w:t>
      </w:r>
    </w:p>
    <w:p w14:paraId="2FA8A501">
      <w:pPr>
        <w:pStyle w:val="3"/>
        <w:spacing w:before="47" w:line="560" w:lineRule="exact"/>
        <w:ind w:left="30" w:right="19"/>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val="0"/>
          <w:bCs w:val="0"/>
          <w:spacing w:val="8"/>
          <w:sz w:val="32"/>
          <w:szCs w:val="32"/>
          <w:lang w:eastAsia="zh-CN"/>
        </w:rPr>
        <w:t>一、领域：</w:t>
      </w:r>
      <w:r>
        <w:rPr>
          <w:rFonts w:hint="eastAsia" w:ascii="仿宋_GB2312" w:hAnsi="仿宋_GB2312" w:eastAsia="仿宋_GB2312" w:cs="仿宋_GB2312"/>
          <w:b w:val="0"/>
          <w:bCs w:val="0"/>
          <w:spacing w:val="8"/>
          <w:sz w:val="32"/>
          <w:szCs w:val="32"/>
          <w:lang w:eastAsia="zh-CN"/>
        </w:rPr>
        <w:t>人工智能、形态学、血液系统疾病</w:t>
      </w:r>
    </w:p>
    <w:p w14:paraId="72969A45">
      <w:pPr>
        <w:pStyle w:val="3"/>
        <w:spacing w:before="47" w:line="560" w:lineRule="exact"/>
        <w:ind w:right="19"/>
        <w:jc w:val="both"/>
        <w:rPr>
          <w:rFonts w:hint="eastAsia" w:ascii="黑体" w:hAnsi="黑体" w:eastAsia="黑体" w:cs="黑体"/>
          <w:b w:val="0"/>
          <w:bCs w:val="0"/>
          <w:spacing w:val="8"/>
          <w:sz w:val="32"/>
          <w:szCs w:val="32"/>
          <w:lang w:eastAsia="zh-CN"/>
        </w:rPr>
      </w:pPr>
      <w:r>
        <w:rPr>
          <w:rFonts w:hint="eastAsia" w:ascii="黑体" w:hAnsi="黑体" w:eastAsia="黑体" w:cs="黑体"/>
          <w:b w:val="0"/>
          <w:bCs w:val="0"/>
          <w:spacing w:val="8"/>
          <w:sz w:val="32"/>
          <w:szCs w:val="32"/>
          <w:lang w:eastAsia="zh-CN"/>
        </w:rPr>
        <w:t>二、主要研究内容</w:t>
      </w:r>
    </w:p>
    <w:p w14:paraId="3F9F9EEA">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通过收集大量儿童血液系统疾病患者的外周血涂片图像数据，结合血常规研究参数指标建立和验证早期血液系统疾病、感染性疾病复检规则，并通过机器学习，评估人工智能辅助外周血形态学诊断在儿童常见血液系统疾病（如贫血、白血病、血小板减少症等）中的诊断准确性、敏感性和特异性。探讨人工智能辅助诊断与临床医生诊断结果的一致性和差异性，分析其优势和不足。建立适用于儿童血液系统疾病的人工智能辅助诊断模型，提高诊断效率和质量，为临床决策提供科学依据。</w:t>
      </w:r>
    </w:p>
    <w:p w14:paraId="22A508E4">
      <w:pPr>
        <w:pStyle w:val="3"/>
        <w:numPr>
          <w:ilvl w:val="0"/>
          <w:numId w:val="0"/>
        </w:numPr>
        <w:spacing w:before="47" w:line="560" w:lineRule="exact"/>
        <w:ind w:right="19"/>
        <w:jc w:val="both"/>
        <w:rPr>
          <w:rFonts w:hint="eastAsia" w:ascii="黑体" w:hAnsi="黑体" w:eastAsia="黑体" w:cs="黑体"/>
          <w:b w:val="0"/>
          <w:bCs w:val="0"/>
          <w:spacing w:val="8"/>
          <w:sz w:val="32"/>
          <w:szCs w:val="32"/>
          <w:lang w:eastAsia="zh-CN"/>
        </w:rPr>
      </w:pPr>
      <w:r>
        <w:rPr>
          <w:rFonts w:hint="eastAsia" w:ascii="黑体" w:hAnsi="黑体" w:eastAsia="黑体" w:cs="黑体"/>
          <w:b w:val="0"/>
          <w:bCs w:val="0"/>
          <w:snapToGrid w:val="0"/>
          <w:color w:val="000000"/>
          <w:spacing w:val="8"/>
          <w:sz w:val="32"/>
          <w:szCs w:val="32"/>
          <w:lang w:val="en-US" w:eastAsia="zh-CN" w:bidi="ar-SA"/>
        </w:rPr>
        <w:t>三、</w:t>
      </w:r>
      <w:r>
        <w:rPr>
          <w:rFonts w:hint="eastAsia" w:ascii="黑体" w:hAnsi="黑体" w:eastAsia="黑体" w:cs="黑体"/>
          <w:b w:val="0"/>
          <w:bCs w:val="0"/>
          <w:spacing w:val="8"/>
          <w:sz w:val="32"/>
          <w:szCs w:val="32"/>
          <w:lang w:eastAsia="zh-CN"/>
        </w:rPr>
        <w:t>项目考核指标（项目执行期内）</w:t>
      </w:r>
    </w:p>
    <w:p w14:paraId="52D455DB">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（一）学术指标：</w:t>
      </w:r>
    </w:p>
    <w:p w14:paraId="4311363C">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在国内核心期刊发表论文≥</w:t>
      </w:r>
      <w:r>
        <w:rPr>
          <w:rFonts w:hint="eastAsia" w:ascii="仿宋_GB2312" w:hAnsi="仿宋_GB2312" w:eastAsia="仿宋_GB2312" w:cs="仿宋_GB2312"/>
          <w:b w:val="0"/>
          <w:bCs w:val="0"/>
          <w:spacing w:val="8"/>
          <w:sz w:val="32"/>
          <w:szCs w:val="32"/>
          <w:lang w:val="en-US" w:eastAsia="zh-CN"/>
        </w:rPr>
        <w:t>1</w:t>
      </w:r>
      <w:r>
        <w:rPr>
          <w:rFonts w:hint="eastAsia" w:ascii="仿宋_GB2312" w:hAnsi="仿宋_GB2312" w:eastAsia="仿宋_GB2312" w:cs="仿宋_GB2312"/>
          <w:b w:val="0"/>
          <w:bCs w:val="0"/>
          <w:spacing w:val="8"/>
          <w:sz w:val="32"/>
          <w:szCs w:val="32"/>
          <w:lang w:eastAsia="zh-CN"/>
        </w:rPr>
        <w:t>篇，展示本研究成果的创新性和应用价值；</w:t>
      </w:r>
    </w:p>
    <w:p w14:paraId="52E67F39">
      <w:pPr>
        <w:pStyle w:val="3"/>
        <w:numPr>
          <w:ilvl w:val="-1"/>
          <w:numId w:val="0"/>
        </w:numPr>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（二）技术指标：</w:t>
      </w:r>
    </w:p>
    <w:p w14:paraId="692F25DA">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1.建立一套适用于儿童血液系统疾病的人工智能辅助外周血形态学诊断模型，该模型具有较高的诊断准确性、敏感性和特异性，能够有效辅助临床医生进行疾病诊断，</w:t>
      </w:r>
      <w:r>
        <w:rPr>
          <w:rFonts w:hint="eastAsia" w:ascii="仿宋_GB2312" w:hAnsi="仿宋_GB2312" w:eastAsia="仿宋_GB2312" w:cs="仿宋_GB2312"/>
          <w:b w:val="0"/>
          <w:bCs w:val="0"/>
          <w:spacing w:val="8"/>
          <w:sz w:val="32"/>
          <w:szCs w:val="32"/>
          <w:lang w:val="en-US" w:eastAsia="zh-CN"/>
        </w:rPr>
        <w:t>形成≥1份相关报告。</w:t>
      </w:r>
    </w:p>
    <w:p w14:paraId="7E7E0AA7">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val="en-US" w:eastAsia="zh-CN"/>
        </w:rPr>
        <w:t>2</w:t>
      </w:r>
      <w:r>
        <w:rPr>
          <w:rFonts w:hint="eastAsia" w:ascii="仿宋_GB2312" w:hAnsi="仿宋_GB2312" w:eastAsia="仿宋_GB2312" w:cs="仿宋_GB2312"/>
          <w:b w:val="0"/>
          <w:bCs w:val="0"/>
          <w:spacing w:val="8"/>
          <w:sz w:val="32"/>
          <w:szCs w:val="32"/>
          <w:lang w:eastAsia="zh-CN"/>
        </w:rPr>
        <w:t>.培养一支具备跨学科知识和技能的研究团队，包括临床医学专家、计算机工程师、生物信息学专家等，为后续的研究和开发工作奠定基础。</w:t>
      </w:r>
    </w:p>
    <w:p w14:paraId="62742D18">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val="0"/>
          <w:bCs w:val="0"/>
          <w:spacing w:val="8"/>
          <w:sz w:val="32"/>
          <w:szCs w:val="32"/>
          <w:lang w:eastAsia="zh-CN"/>
        </w:rPr>
        <w:t>四、项目实施年限：</w:t>
      </w:r>
      <w:r>
        <w:rPr>
          <w:rFonts w:hint="eastAsia" w:ascii="仿宋_GB2312" w:hAnsi="仿宋_GB2312" w:eastAsia="仿宋_GB2312" w:cs="仿宋_GB2312"/>
          <w:b w:val="0"/>
          <w:bCs w:val="0"/>
          <w:spacing w:val="8"/>
          <w:sz w:val="32"/>
          <w:szCs w:val="32"/>
          <w:lang w:eastAsia="zh-CN"/>
        </w:rPr>
        <w:t>不超过2年</w:t>
      </w:r>
    </w:p>
    <w:p w14:paraId="49F6F6DE">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val="0"/>
          <w:bCs w:val="0"/>
          <w:spacing w:val="8"/>
          <w:sz w:val="32"/>
          <w:szCs w:val="32"/>
          <w:lang w:eastAsia="zh-CN"/>
        </w:rPr>
        <w:t>五、资助金额：</w:t>
      </w:r>
      <w:r>
        <w:rPr>
          <w:rFonts w:hint="eastAsia" w:ascii="仿宋_GB2312" w:hAnsi="仿宋_GB2312" w:eastAsia="仿宋_GB2312" w:cs="仿宋_GB2312"/>
          <w:b w:val="0"/>
          <w:bCs w:val="0"/>
          <w:spacing w:val="8"/>
          <w:sz w:val="32"/>
          <w:szCs w:val="32"/>
          <w:lang w:eastAsia="zh-CN"/>
        </w:rPr>
        <w:t>不超过10万元</w:t>
      </w:r>
    </w:p>
    <w:p w14:paraId="266552A3">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p>
    <w:p w14:paraId="1A47E5DD">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p>
    <w:p w14:paraId="64417433">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p>
    <w:p w14:paraId="3E4B2DA3">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p>
    <w:p w14:paraId="6D305E16">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p>
    <w:p w14:paraId="5941D358">
      <w:pPr>
        <w:spacing w:before="91" w:line="560" w:lineRule="exact"/>
        <w:ind w:right="248"/>
        <w:jc w:val="both"/>
        <w:outlineLvl w:val="0"/>
        <w:rPr>
          <w:rFonts w:hint="eastAsia" w:ascii="仿宋_GB2312" w:hAnsi="仿宋_GB2312" w:eastAsia="仿宋_GB2312" w:cs="仿宋_GB2312"/>
          <w:b w:val="0"/>
          <w:bCs w:val="0"/>
          <w:spacing w:val="19"/>
          <w:sz w:val="32"/>
          <w:szCs w:val="32"/>
          <w:lang w:eastAsia="zh-CN"/>
        </w:rPr>
      </w:pPr>
    </w:p>
    <w:p w14:paraId="03B9B4A5">
      <w:pPr>
        <w:spacing w:before="91" w:line="560" w:lineRule="exact"/>
        <w:ind w:right="248"/>
        <w:jc w:val="center"/>
        <w:outlineLvl w:val="0"/>
        <w:rPr>
          <w:rFonts w:hint="eastAsia" w:ascii="仿宋_GB2312" w:hAnsi="仿宋_GB2312" w:eastAsia="仿宋_GB2312" w:cs="仿宋_GB2312"/>
          <w:b w:val="0"/>
          <w:bCs w:val="0"/>
          <w:spacing w:val="19"/>
          <w:sz w:val="32"/>
          <w:szCs w:val="32"/>
          <w:lang w:eastAsia="zh-CN"/>
        </w:rPr>
      </w:pPr>
    </w:p>
    <w:p w14:paraId="477F8FEE">
      <w:pPr>
        <w:spacing w:before="91" w:line="560" w:lineRule="exact"/>
        <w:ind w:right="248"/>
        <w:jc w:val="center"/>
        <w:outlineLvl w:val="0"/>
        <w:rPr>
          <w:rFonts w:hint="eastAsia" w:ascii="仿宋_GB2312" w:hAnsi="仿宋_GB2312" w:eastAsia="仿宋_GB2312" w:cs="仿宋_GB2312"/>
          <w:b w:val="0"/>
          <w:bCs w:val="0"/>
          <w:spacing w:val="19"/>
          <w:sz w:val="32"/>
          <w:szCs w:val="32"/>
          <w:lang w:eastAsia="zh-CN"/>
        </w:rPr>
      </w:pPr>
    </w:p>
    <w:p w14:paraId="71D4DAD1">
      <w:pPr>
        <w:spacing w:before="91" w:line="560" w:lineRule="exact"/>
        <w:ind w:right="248"/>
        <w:jc w:val="center"/>
        <w:outlineLvl w:val="0"/>
        <w:rPr>
          <w:rFonts w:hint="eastAsia" w:ascii="仿宋_GB2312" w:hAnsi="仿宋_GB2312" w:eastAsia="仿宋_GB2312" w:cs="仿宋_GB2312"/>
          <w:b w:val="0"/>
          <w:bCs w:val="0"/>
          <w:spacing w:val="19"/>
          <w:sz w:val="32"/>
          <w:szCs w:val="32"/>
          <w:lang w:eastAsia="zh-CN"/>
        </w:rPr>
      </w:pPr>
    </w:p>
    <w:p w14:paraId="0649BE7B">
      <w:pPr>
        <w:spacing w:before="91" w:line="560" w:lineRule="exact"/>
        <w:ind w:right="248"/>
        <w:jc w:val="center"/>
        <w:outlineLvl w:val="0"/>
        <w:rPr>
          <w:rFonts w:hint="eastAsia" w:ascii="仿宋_GB2312" w:hAnsi="仿宋_GB2312" w:eastAsia="仿宋_GB2312" w:cs="仿宋_GB2312"/>
          <w:b w:val="0"/>
          <w:bCs w:val="0"/>
          <w:spacing w:val="19"/>
          <w:sz w:val="32"/>
          <w:szCs w:val="32"/>
          <w:lang w:eastAsia="zh-CN"/>
        </w:rPr>
      </w:pPr>
    </w:p>
    <w:p w14:paraId="09127F1B">
      <w:pPr>
        <w:spacing w:before="91" w:line="560" w:lineRule="exact"/>
        <w:ind w:right="248"/>
        <w:jc w:val="center"/>
        <w:outlineLvl w:val="0"/>
        <w:rPr>
          <w:rFonts w:hint="eastAsia" w:ascii="仿宋_GB2312" w:hAnsi="仿宋_GB2312" w:eastAsia="仿宋_GB2312" w:cs="仿宋_GB2312"/>
          <w:b w:val="0"/>
          <w:bCs w:val="0"/>
          <w:spacing w:val="19"/>
          <w:sz w:val="32"/>
          <w:szCs w:val="32"/>
          <w:lang w:eastAsia="zh-CN"/>
        </w:rPr>
      </w:pPr>
    </w:p>
    <w:p w14:paraId="5021DFA7">
      <w:pPr>
        <w:spacing w:before="91" w:line="560" w:lineRule="exact"/>
        <w:ind w:right="248"/>
        <w:jc w:val="center"/>
        <w:outlineLvl w:val="0"/>
        <w:rPr>
          <w:rFonts w:hint="eastAsia" w:ascii="仿宋_GB2312" w:hAnsi="仿宋_GB2312" w:eastAsia="仿宋_GB2312" w:cs="仿宋_GB2312"/>
          <w:b w:val="0"/>
          <w:bCs w:val="0"/>
          <w:spacing w:val="19"/>
          <w:sz w:val="32"/>
          <w:szCs w:val="32"/>
          <w:lang w:eastAsia="zh-CN"/>
        </w:rPr>
      </w:pPr>
    </w:p>
    <w:p w14:paraId="423492B9">
      <w:pPr>
        <w:spacing w:before="91" w:line="560" w:lineRule="exact"/>
        <w:ind w:right="248"/>
        <w:jc w:val="both"/>
        <w:outlineLvl w:val="0"/>
        <w:rPr>
          <w:rFonts w:hint="eastAsia" w:ascii="仿宋_GB2312" w:hAnsi="仿宋_GB2312" w:eastAsia="仿宋_GB2312" w:cs="仿宋_GB2312"/>
          <w:b w:val="0"/>
          <w:bCs w:val="0"/>
          <w:spacing w:val="19"/>
          <w:sz w:val="32"/>
          <w:szCs w:val="32"/>
          <w:lang w:eastAsia="zh-CN"/>
        </w:rPr>
      </w:pPr>
    </w:p>
    <w:p w14:paraId="587887DC">
      <w:pPr>
        <w:pStyle w:val="3"/>
        <w:spacing w:line="560" w:lineRule="exact"/>
        <w:jc w:val="center"/>
        <w:rPr>
          <w:rFonts w:hint="eastAsia" w:ascii="黑体" w:hAnsi="黑体" w:eastAsia="黑体" w:cs="黑体"/>
          <w:b/>
          <w:bCs/>
          <w:spacing w:val="8"/>
          <w:sz w:val="32"/>
          <w:szCs w:val="32"/>
          <w:lang w:eastAsia="zh-CN"/>
        </w:rPr>
      </w:pPr>
    </w:p>
    <w:p w14:paraId="0FFE0C90">
      <w:pPr>
        <w:pStyle w:val="3"/>
        <w:spacing w:line="560" w:lineRule="exact"/>
        <w:jc w:val="center"/>
        <w:rPr>
          <w:rFonts w:hint="eastAsia" w:ascii="黑体" w:hAnsi="黑体" w:eastAsia="黑体" w:cs="黑体"/>
          <w:b/>
          <w:bCs/>
          <w:spacing w:val="8"/>
          <w:sz w:val="32"/>
          <w:szCs w:val="32"/>
          <w:lang w:eastAsia="zh-CN"/>
        </w:rPr>
      </w:pPr>
    </w:p>
    <w:p w14:paraId="6BC0EEFE">
      <w:pPr>
        <w:pStyle w:val="3"/>
        <w:spacing w:line="560" w:lineRule="exact"/>
        <w:jc w:val="center"/>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bCs/>
          <w:spacing w:val="8"/>
          <w:sz w:val="32"/>
          <w:szCs w:val="32"/>
          <w:lang w:val="en-US" w:eastAsia="zh-CN"/>
        </w:rPr>
        <w:t>开</w:t>
      </w:r>
      <w:r>
        <w:rPr>
          <w:rFonts w:hint="eastAsia" w:ascii="黑体" w:hAnsi="黑体" w:eastAsia="黑体" w:cs="黑体"/>
          <w:b/>
          <w:bCs/>
          <w:spacing w:val="8"/>
          <w:sz w:val="32"/>
          <w:szCs w:val="32"/>
          <w:lang w:eastAsia="zh-CN"/>
        </w:rPr>
        <w:t>20250</w:t>
      </w:r>
      <w:r>
        <w:rPr>
          <w:rFonts w:hint="eastAsia" w:ascii="黑体" w:hAnsi="黑体" w:eastAsia="黑体" w:cs="黑体"/>
          <w:b/>
          <w:bCs/>
          <w:spacing w:val="8"/>
          <w:sz w:val="32"/>
          <w:szCs w:val="32"/>
          <w:lang w:val="en-US" w:eastAsia="zh-CN"/>
        </w:rPr>
        <w:t>4</w:t>
      </w:r>
      <w:r>
        <w:rPr>
          <w:rFonts w:hint="eastAsia" w:ascii="黑体" w:hAnsi="黑体" w:eastAsia="黑体" w:cs="黑体"/>
          <w:b/>
          <w:bCs/>
          <w:spacing w:val="8"/>
          <w:sz w:val="32"/>
          <w:szCs w:val="32"/>
          <w:lang w:eastAsia="zh-CN"/>
        </w:rPr>
        <w:t>00</w:t>
      </w:r>
      <w:r>
        <w:rPr>
          <w:rFonts w:hint="eastAsia" w:ascii="黑体" w:hAnsi="黑体" w:eastAsia="黑体" w:cs="黑体"/>
          <w:b/>
          <w:bCs/>
          <w:spacing w:val="8"/>
          <w:sz w:val="32"/>
          <w:szCs w:val="32"/>
          <w:lang w:val="en-US" w:eastAsia="zh-CN"/>
        </w:rPr>
        <w:t>4</w:t>
      </w:r>
      <w:r>
        <w:rPr>
          <w:rFonts w:hint="eastAsia" w:ascii="黑体" w:hAnsi="黑体" w:eastAsia="黑体" w:cs="黑体"/>
          <w:b/>
          <w:bCs/>
          <w:spacing w:val="8"/>
          <w:sz w:val="32"/>
          <w:szCs w:val="32"/>
          <w:lang w:eastAsia="zh-CN"/>
        </w:rPr>
        <w:t xml:space="preserve"> 血液系统疾病及感染性疾病筛查诊断</w:t>
      </w:r>
    </w:p>
    <w:p w14:paraId="19D11618">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val="0"/>
          <w:bCs w:val="0"/>
          <w:spacing w:val="8"/>
          <w:sz w:val="32"/>
          <w:szCs w:val="32"/>
          <w:lang w:eastAsia="zh-CN"/>
        </w:rPr>
        <w:t>一、领域：</w:t>
      </w:r>
      <w:r>
        <w:rPr>
          <w:rFonts w:hint="eastAsia" w:ascii="仿宋_GB2312" w:hAnsi="仿宋_GB2312" w:eastAsia="仿宋_GB2312" w:cs="仿宋_GB2312"/>
          <w:b w:val="0"/>
          <w:bCs w:val="0"/>
          <w:spacing w:val="8"/>
          <w:sz w:val="32"/>
          <w:szCs w:val="32"/>
          <w:lang w:eastAsia="zh-CN"/>
        </w:rPr>
        <w:t>血液系统疾病、感染性疾病、筛查</w:t>
      </w:r>
    </w:p>
    <w:p w14:paraId="0545A720">
      <w:pPr>
        <w:pStyle w:val="3"/>
        <w:spacing w:before="47" w:line="560" w:lineRule="exact"/>
        <w:ind w:right="19"/>
        <w:jc w:val="both"/>
        <w:rPr>
          <w:rFonts w:hint="eastAsia" w:ascii="黑体" w:hAnsi="黑体" w:eastAsia="黑体" w:cs="黑体"/>
          <w:b w:val="0"/>
          <w:bCs w:val="0"/>
          <w:spacing w:val="8"/>
          <w:sz w:val="32"/>
          <w:szCs w:val="32"/>
          <w:lang w:eastAsia="zh-CN"/>
        </w:rPr>
      </w:pPr>
      <w:r>
        <w:rPr>
          <w:rFonts w:hint="eastAsia" w:ascii="黑体" w:hAnsi="黑体" w:eastAsia="黑体" w:cs="黑体"/>
          <w:b w:val="0"/>
          <w:bCs w:val="0"/>
          <w:spacing w:val="8"/>
          <w:sz w:val="32"/>
          <w:szCs w:val="32"/>
          <w:lang w:eastAsia="zh-CN"/>
        </w:rPr>
        <w:t>二、主要研究内容</w:t>
      </w:r>
    </w:p>
    <w:p w14:paraId="062C561A">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通过AI外周血细胞形态学技术，结合血常规研究参数指标建立和验证早期血液系统疾病、感染性疾病复检规则，并通过机器学习构建在早期血液系统疾病、感染性疾病患者的诊断模型，为高效筛检血液系统、感染性疾病的高危人群，为临床早期进行干预、治疗提供数据支持。</w:t>
      </w:r>
    </w:p>
    <w:p w14:paraId="175B259B">
      <w:pPr>
        <w:pStyle w:val="3"/>
        <w:numPr>
          <w:ilvl w:val="0"/>
          <w:numId w:val="0"/>
        </w:numPr>
        <w:spacing w:before="47" w:line="560" w:lineRule="exact"/>
        <w:ind w:right="19"/>
        <w:jc w:val="both"/>
        <w:rPr>
          <w:rFonts w:hint="eastAsia" w:ascii="黑体" w:hAnsi="黑体" w:eastAsia="黑体" w:cs="黑体"/>
          <w:b w:val="0"/>
          <w:bCs w:val="0"/>
          <w:spacing w:val="8"/>
          <w:sz w:val="32"/>
          <w:szCs w:val="32"/>
          <w:lang w:eastAsia="zh-CN"/>
        </w:rPr>
      </w:pPr>
      <w:r>
        <w:rPr>
          <w:rFonts w:hint="eastAsia" w:ascii="黑体" w:hAnsi="黑体" w:eastAsia="黑体" w:cs="黑体"/>
          <w:b w:val="0"/>
          <w:bCs w:val="0"/>
          <w:snapToGrid w:val="0"/>
          <w:color w:val="000000"/>
          <w:spacing w:val="8"/>
          <w:sz w:val="32"/>
          <w:szCs w:val="32"/>
          <w:lang w:val="en-US" w:eastAsia="zh-CN" w:bidi="ar-SA"/>
        </w:rPr>
        <w:t>三、</w:t>
      </w:r>
      <w:r>
        <w:rPr>
          <w:rFonts w:hint="eastAsia" w:ascii="黑体" w:hAnsi="黑体" w:eastAsia="黑体" w:cs="黑体"/>
          <w:b w:val="0"/>
          <w:bCs w:val="0"/>
          <w:spacing w:val="8"/>
          <w:sz w:val="32"/>
          <w:szCs w:val="32"/>
          <w:lang w:eastAsia="zh-CN"/>
        </w:rPr>
        <w:t>项目考核指标（项目执行期内）</w:t>
      </w:r>
    </w:p>
    <w:p w14:paraId="1C4F2E87">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（一）学术指标：</w:t>
      </w:r>
    </w:p>
    <w:p w14:paraId="568F3D01">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highlight w:val="none"/>
          <w:lang w:eastAsia="zh-CN"/>
        </w:rPr>
      </w:pPr>
      <w:r>
        <w:rPr>
          <w:rFonts w:hint="eastAsia" w:ascii="仿宋_GB2312" w:hAnsi="仿宋_GB2312" w:eastAsia="仿宋_GB2312" w:cs="仿宋_GB2312"/>
          <w:b w:val="0"/>
          <w:bCs w:val="0"/>
          <w:spacing w:val="8"/>
          <w:sz w:val="32"/>
          <w:szCs w:val="32"/>
          <w:lang w:eastAsia="zh-CN"/>
        </w:rPr>
        <w:t>发表学</w:t>
      </w:r>
      <w:r>
        <w:rPr>
          <w:rFonts w:hint="eastAsia" w:ascii="仿宋_GB2312" w:hAnsi="仿宋_GB2312" w:eastAsia="仿宋_GB2312" w:cs="仿宋_GB2312"/>
          <w:b w:val="0"/>
          <w:bCs w:val="0"/>
          <w:spacing w:val="8"/>
          <w:sz w:val="32"/>
          <w:szCs w:val="32"/>
          <w:highlight w:val="none"/>
          <w:lang w:eastAsia="zh-CN"/>
        </w:rPr>
        <w:t>术论文≥</w:t>
      </w:r>
      <w:r>
        <w:rPr>
          <w:rFonts w:hint="eastAsia" w:ascii="仿宋_GB2312" w:hAnsi="仿宋_GB2312" w:eastAsia="仿宋_GB2312" w:cs="仿宋_GB2312"/>
          <w:b w:val="0"/>
          <w:bCs w:val="0"/>
          <w:spacing w:val="8"/>
          <w:sz w:val="32"/>
          <w:szCs w:val="32"/>
          <w:highlight w:val="none"/>
          <w:lang w:val="en-US" w:eastAsia="zh-CN"/>
        </w:rPr>
        <w:t>1</w:t>
      </w:r>
      <w:r>
        <w:rPr>
          <w:rFonts w:hint="eastAsia" w:ascii="仿宋_GB2312" w:hAnsi="仿宋_GB2312" w:eastAsia="仿宋_GB2312" w:cs="仿宋_GB2312"/>
          <w:b w:val="0"/>
          <w:bCs w:val="0"/>
          <w:spacing w:val="8"/>
          <w:sz w:val="32"/>
          <w:szCs w:val="32"/>
          <w:highlight w:val="none"/>
          <w:lang w:eastAsia="zh-CN"/>
        </w:rPr>
        <w:t>篇；</w:t>
      </w:r>
    </w:p>
    <w:p w14:paraId="434268AC">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highlight w:val="none"/>
          <w:lang w:eastAsia="zh-CN"/>
        </w:rPr>
      </w:pPr>
      <w:r>
        <w:rPr>
          <w:rFonts w:hint="eastAsia" w:ascii="仿宋_GB2312" w:hAnsi="仿宋_GB2312" w:eastAsia="仿宋_GB2312" w:cs="仿宋_GB2312"/>
          <w:b w:val="0"/>
          <w:bCs w:val="0"/>
          <w:spacing w:val="8"/>
          <w:sz w:val="32"/>
          <w:szCs w:val="32"/>
          <w:highlight w:val="none"/>
          <w:lang w:eastAsia="zh-CN"/>
        </w:rPr>
        <w:t>（二）技术指标：</w:t>
      </w:r>
    </w:p>
    <w:p w14:paraId="6BE24386">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lang w:val="en-US" w:eastAsia="zh-CN"/>
        </w:rPr>
      </w:pPr>
      <w:r>
        <w:rPr>
          <w:rFonts w:hint="eastAsia" w:ascii="仿宋_GB2312" w:hAnsi="仿宋_GB2312" w:eastAsia="仿宋_GB2312" w:cs="仿宋_GB2312"/>
          <w:b w:val="0"/>
          <w:bCs w:val="0"/>
          <w:spacing w:val="8"/>
          <w:sz w:val="32"/>
          <w:szCs w:val="32"/>
          <w:lang w:eastAsia="zh-CN"/>
        </w:rPr>
        <w:t>构建外周血细胞图像数据库，开发一套AI分析系统预分类与人工审核结果比对的流程，应用AI分析系统对外周血有核细胞进行预分类计数，并与人工审核结果进行对比分析。</w:t>
      </w:r>
      <w:r>
        <w:rPr>
          <w:rFonts w:hint="eastAsia" w:ascii="仿宋_GB2312" w:hAnsi="仿宋_GB2312" w:eastAsia="仿宋_GB2312" w:cs="仿宋_GB2312"/>
          <w:b w:val="0"/>
          <w:bCs w:val="0"/>
          <w:spacing w:val="8"/>
          <w:sz w:val="32"/>
          <w:szCs w:val="32"/>
          <w:lang w:val="en-US" w:eastAsia="zh-CN"/>
        </w:rPr>
        <w:t xml:space="preserve">  </w:t>
      </w:r>
    </w:p>
    <w:p w14:paraId="2B5042E6">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评估AI系统在原始细胞分类计数结果与手工镜检分类结果之间的一致性和差异性，</w:t>
      </w:r>
      <w:r>
        <w:rPr>
          <w:rFonts w:hint="eastAsia" w:ascii="仿宋_GB2312" w:hAnsi="仿宋_GB2312" w:eastAsia="仿宋_GB2312" w:cs="仿宋_GB2312"/>
          <w:b w:val="0"/>
          <w:bCs w:val="0"/>
          <w:spacing w:val="8"/>
          <w:sz w:val="32"/>
          <w:szCs w:val="32"/>
          <w:lang w:val="en-US" w:eastAsia="zh-CN"/>
        </w:rPr>
        <w:t>形成学术研究报告</w:t>
      </w:r>
      <w:r>
        <w:rPr>
          <w:rFonts w:hint="eastAsia" w:ascii="仿宋_GB2312" w:hAnsi="仿宋_GB2312" w:eastAsia="仿宋_GB2312" w:cs="仿宋_GB2312"/>
          <w:b w:val="0"/>
          <w:bCs w:val="0"/>
          <w:spacing w:val="8"/>
          <w:sz w:val="32"/>
          <w:szCs w:val="32"/>
          <w:lang w:eastAsia="zh-CN"/>
        </w:rPr>
        <w:t>≥1</w:t>
      </w:r>
      <w:r>
        <w:rPr>
          <w:rFonts w:hint="eastAsia" w:ascii="仿宋_GB2312" w:hAnsi="仿宋_GB2312" w:eastAsia="仿宋_GB2312" w:cs="仿宋_GB2312"/>
          <w:b w:val="0"/>
          <w:bCs w:val="0"/>
          <w:spacing w:val="8"/>
          <w:sz w:val="32"/>
          <w:szCs w:val="32"/>
          <w:lang w:val="en-US" w:eastAsia="zh-CN"/>
        </w:rPr>
        <w:t>份。</w:t>
      </w:r>
    </w:p>
    <w:p w14:paraId="08998A09">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val="0"/>
          <w:bCs w:val="0"/>
          <w:spacing w:val="8"/>
          <w:sz w:val="32"/>
          <w:szCs w:val="32"/>
          <w:lang w:eastAsia="zh-CN"/>
        </w:rPr>
        <w:t>四、项目实施年限：</w:t>
      </w:r>
      <w:r>
        <w:rPr>
          <w:rFonts w:hint="eastAsia" w:ascii="仿宋_GB2312" w:hAnsi="仿宋_GB2312" w:eastAsia="仿宋_GB2312" w:cs="仿宋_GB2312"/>
          <w:b w:val="0"/>
          <w:bCs w:val="0"/>
          <w:spacing w:val="8"/>
          <w:sz w:val="32"/>
          <w:szCs w:val="32"/>
          <w:lang w:eastAsia="zh-CN"/>
        </w:rPr>
        <w:t>不超过2年</w:t>
      </w:r>
    </w:p>
    <w:p w14:paraId="502F4442">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val="0"/>
          <w:bCs w:val="0"/>
          <w:spacing w:val="8"/>
          <w:sz w:val="32"/>
          <w:szCs w:val="32"/>
          <w:lang w:eastAsia="zh-CN"/>
        </w:rPr>
        <w:t>五、资助金额：</w:t>
      </w:r>
      <w:r>
        <w:rPr>
          <w:rFonts w:hint="eastAsia" w:ascii="仿宋_GB2312" w:hAnsi="仿宋_GB2312" w:eastAsia="仿宋_GB2312" w:cs="仿宋_GB2312"/>
          <w:b w:val="0"/>
          <w:bCs w:val="0"/>
          <w:spacing w:val="8"/>
          <w:sz w:val="32"/>
          <w:szCs w:val="32"/>
          <w:lang w:eastAsia="zh-CN"/>
        </w:rPr>
        <w:t>不超过10万元</w:t>
      </w:r>
    </w:p>
    <w:p w14:paraId="43B3B767">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p>
    <w:p w14:paraId="2D0827A5">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p>
    <w:p w14:paraId="577DC948">
      <w:pPr>
        <w:pStyle w:val="3"/>
        <w:spacing w:before="47" w:line="560" w:lineRule="exact"/>
        <w:ind w:right="19"/>
        <w:jc w:val="center"/>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bCs/>
          <w:spacing w:val="8"/>
          <w:sz w:val="32"/>
          <w:szCs w:val="32"/>
          <w:lang w:val="en-US" w:eastAsia="zh-CN"/>
        </w:rPr>
        <w:t>开</w:t>
      </w:r>
      <w:r>
        <w:rPr>
          <w:rFonts w:hint="eastAsia" w:ascii="黑体" w:hAnsi="黑体" w:eastAsia="黑体" w:cs="黑体"/>
          <w:b/>
          <w:bCs/>
          <w:spacing w:val="8"/>
          <w:sz w:val="32"/>
          <w:szCs w:val="32"/>
          <w:lang w:eastAsia="zh-CN"/>
        </w:rPr>
        <w:t>20250</w:t>
      </w:r>
      <w:r>
        <w:rPr>
          <w:rFonts w:hint="eastAsia" w:ascii="黑体" w:hAnsi="黑体" w:eastAsia="黑体" w:cs="黑体"/>
          <w:b/>
          <w:bCs/>
          <w:spacing w:val="8"/>
          <w:sz w:val="32"/>
          <w:szCs w:val="32"/>
          <w:lang w:val="en-US" w:eastAsia="zh-CN"/>
        </w:rPr>
        <w:t>4</w:t>
      </w:r>
      <w:r>
        <w:rPr>
          <w:rFonts w:hint="eastAsia" w:ascii="黑体" w:hAnsi="黑体" w:eastAsia="黑体" w:cs="黑体"/>
          <w:b/>
          <w:bCs/>
          <w:spacing w:val="8"/>
          <w:sz w:val="32"/>
          <w:szCs w:val="32"/>
          <w:lang w:eastAsia="zh-CN"/>
        </w:rPr>
        <w:t>00</w:t>
      </w:r>
      <w:r>
        <w:rPr>
          <w:rFonts w:hint="eastAsia" w:ascii="黑体" w:hAnsi="黑体" w:eastAsia="黑体" w:cs="黑体"/>
          <w:b/>
          <w:bCs/>
          <w:spacing w:val="8"/>
          <w:sz w:val="32"/>
          <w:szCs w:val="32"/>
          <w:lang w:val="en-US" w:eastAsia="zh-CN"/>
        </w:rPr>
        <w:t>5</w:t>
      </w:r>
      <w:r>
        <w:rPr>
          <w:rFonts w:hint="eastAsia" w:ascii="黑体" w:hAnsi="黑体" w:eastAsia="黑体" w:cs="黑体"/>
          <w:b/>
          <w:bCs/>
          <w:spacing w:val="8"/>
          <w:sz w:val="32"/>
          <w:szCs w:val="32"/>
          <w:lang w:eastAsia="zh-CN"/>
        </w:rPr>
        <w:t xml:space="preserve"> 多重病原体快速检测体系建立</w:t>
      </w:r>
    </w:p>
    <w:p w14:paraId="0A16CCAB">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val="0"/>
          <w:bCs w:val="0"/>
          <w:spacing w:val="8"/>
          <w:sz w:val="32"/>
          <w:szCs w:val="32"/>
          <w:lang w:eastAsia="zh-CN"/>
        </w:rPr>
        <w:t>一、领域：</w:t>
      </w:r>
      <w:r>
        <w:rPr>
          <w:rFonts w:hint="eastAsia" w:ascii="仿宋_GB2312" w:hAnsi="仿宋_GB2312" w:eastAsia="仿宋_GB2312" w:cs="仿宋_GB2312"/>
          <w:b w:val="0"/>
          <w:bCs w:val="0"/>
          <w:spacing w:val="8"/>
          <w:sz w:val="32"/>
          <w:szCs w:val="32"/>
          <w:lang w:eastAsia="zh-CN"/>
        </w:rPr>
        <w:t>分子诊断</w:t>
      </w:r>
    </w:p>
    <w:p w14:paraId="019496F5">
      <w:pPr>
        <w:pStyle w:val="3"/>
        <w:spacing w:before="47" w:line="560" w:lineRule="exact"/>
        <w:ind w:right="19"/>
        <w:jc w:val="both"/>
        <w:rPr>
          <w:rFonts w:hint="eastAsia" w:ascii="黑体" w:hAnsi="黑体" w:eastAsia="黑体" w:cs="黑体"/>
          <w:b w:val="0"/>
          <w:bCs w:val="0"/>
          <w:spacing w:val="8"/>
          <w:sz w:val="32"/>
          <w:szCs w:val="32"/>
          <w:lang w:eastAsia="zh-CN"/>
        </w:rPr>
      </w:pPr>
      <w:r>
        <w:rPr>
          <w:rFonts w:hint="eastAsia" w:ascii="黑体" w:hAnsi="黑体" w:eastAsia="黑体" w:cs="黑体"/>
          <w:b w:val="0"/>
          <w:bCs w:val="0"/>
          <w:spacing w:val="8"/>
          <w:sz w:val="32"/>
          <w:szCs w:val="32"/>
          <w:lang w:eastAsia="zh-CN"/>
        </w:rPr>
        <w:t>二、主要研发内容</w:t>
      </w:r>
    </w:p>
    <w:p w14:paraId="34EA1BAB">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建立针对引发临床感染的重要病原体的多重检测体系，以快速鉴定感染类型及其毒素基因，提高检测效率和准确性，优化检验流程，提高临床诊断能力。</w:t>
      </w:r>
    </w:p>
    <w:p w14:paraId="66BAEA29">
      <w:pPr>
        <w:pStyle w:val="3"/>
        <w:numPr>
          <w:ilvl w:val="0"/>
          <w:numId w:val="0"/>
        </w:numPr>
        <w:spacing w:before="47" w:line="560" w:lineRule="exact"/>
        <w:ind w:right="19"/>
        <w:jc w:val="both"/>
        <w:rPr>
          <w:rFonts w:hint="eastAsia" w:ascii="黑体" w:hAnsi="黑体" w:eastAsia="黑体" w:cs="黑体"/>
          <w:b w:val="0"/>
          <w:bCs w:val="0"/>
          <w:spacing w:val="8"/>
          <w:sz w:val="32"/>
          <w:szCs w:val="32"/>
          <w:lang w:eastAsia="zh-CN"/>
        </w:rPr>
      </w:pPr>
      <w:r>
        <w:rPr>
          <w:rFonts w:hint="eastAsia" w:ascii="黑体" w:hAnsi="黑体" w:eastAsia="黑体" w:cs="黑体"/>
          <w:b w:val="0"/>
          <w:bCs w:val="0"/>
          <w:snapToGrid w:val="0"/>
          <w:color w:val="000000"/>
          <w:spacing w:val="8"/>
          <w:sz w:val="32"/>
          <w:szCs w:val="32"/>
          <w:lang w:val="en-US" w:eastAsia="zh-CN" w:bidi="ar-SA"/>
        </w:rPr>
        <w:t>三、</w:t>
      </w:r>
      <w:r>
        <w:rPr>
          <w:rFonts w:hint="eastAsia" w:ascii="黑体" w:hAnsi="黑体" w:eastAsia="黑体" w:cs="黑体"/>
          <w:b w:val="0"/>
          <w:bCs w:val="0"/>
          <w:spacing w:val="8"/>
          <w:sz w:val="32"/>
          <w:szCs w:val="32"/>
          <w:lang w:eastAsia="zh-CN"/>
        </w:rPr>
        <w:t>项目考核指标（项目执行期内）</w:t>
      </w:r>
    </w:p>
    <w:p w14:paraId="401FF73C">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（一）学术指标：</w:t>
      </w:r>
    </w:p>
    <w:p w14:paraId="68D46820">
      <w:pPr>
        <w:pStyle w:val="3"/>
        <w:spacing w:before="47" w:line="560" w:lineRule="exact"/>
        <w:ind w:left="30" w:right="19" w:firstLine="648"/>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发表学术论文≥1篇或申请专利≥1项；</w:t>
      </w:r>
    </w:p>
    <w:p w14:paraId="5766431B">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（二）技术指标：</w:t>
      </w:r>
    </w:p>
    <w:p w14:paraId="568DAF46">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w:t>
      </w:r>
      <w:r>
        <w:rPr>
          <w:rFonts w:hint="eastAsia" w:ascii="仿宋_GB2312" w:hAnsi="仿宋_GB2312" w:eastAsia="仿宋_GB2312" w:cs="仿宋_GB2312"/>
          <w:b w:val="0"/>
          <w:bCs w:val="0"/>
          <w:spacing w:val="8"/>
          <w:sz w:val="32"/>
          <w:szCs w:val="32"/>
          <w:lang w:val="en-US" w:eastAsia="zh-CN"/>
        </w:rPr>
        <w:t>1</w:t>
      </w:r>
      <w:r>
        <w:rPr>
          <w:rFonts w:hint="eastAsia" w:ascii="仿宋_GB2312" w:hAnsi="仿宋_GB2312" w:eastAsia="仿宋_GB2312" w:cs="仿宋_GB2312"/>
          <w:b w:val="0"/>
          <w:bCs w:val="0"/>
          <w:spacing w:val="8"/>
          <w:sz w:val="32"/>
          <w:szCs w:val="32"/>
          <w:lang w:eastAsia="zh-CN"/>
        </w:rPr>
        <w:t>）基于数字PCR等前沿技术，完成至少1种重要病原体快速检测体系的建立。该检测方案应能快速准确鉴定病原体cDNA碱基序列，并达到能够基于同一样本类型，同时检测多个致病基因的目标。研究成果应旨在降低分子诊断技术成本，提高效率，减轻患者负担，形成有转化潜力的产品、</w:t>
      </w:r>
    </w:p>
    <w:p w14:paraId="3872077B">
      <w:pPr>
        <w:pStyle w:val="3"/>
        <w:spacing w:before="47" w:line="560" w:lineRule="exact"/>
        <w:ind w:right="19" w:firstLine="672" w:firstLineChars="200"/>
        <w:jc w:val="both"/>
        <w:rPr>
          <w:rFonts w:hint="default" w:ascii="仿宋_GB2312" w:hAnsi="仿宋_GB2312" w:eastAsia="仿宋_GB2312" w:cs="仿宋_GB2312"/>
          <w:b w:val="0"/>
          <w:bCs w:val="0"/>
          <w:spacing w:val="8"/>
          <w:sz w:val="32"/>
          <w:szCs w:val="32"/>
          <w:lang w:val="en-US" w:eastAsia="zh-CN"/>
        </w:rPr>
      </w:pPr>
      <w:r>
        <w:rPr>
          <w:rFonts w:hint="eastAsia" w:ascii="仿宋_GB2312" w:hAnsi="仿宋_GB2312" w:eastAsia="仿宋_GB2312" w:cs="仿宋_GB2312"/>
          <w:b w:val="0"/>
          <w:bCs w:val="0"/>
          <w:spacing w:val="8"/>
          <w:sz w:val="32"/>
          <w:szCs w:val="32"/>
          <w:lang w:eastAsia="zh-CN"/>
        </w:rPr>
        <w:t>（</w:t>
      </w:r>
      <w:r>
        <w:rPr>
          <w:rFonts w:hint="eastAsia" w:ascii="仿宋_GB2312" w:hAnsi="仿宋_GB2312" w:eastAsia="仿宋_GB2312" w:cs="仿宋_GB2312"/>
          <w:b w:val="0"/>
          <w:bCs w:val="0"/>
          <w:spacing w:val="8"/>
          <w:sz w:val="32"/>
          <w:szCs w:val="32"/>
          <w:lang w:val="en-US" w:eastAsia="zh-CN"/>
        </w:rPr>
        <w:t>2</w:t>
      </w:r>
      <w:r>
        <w:rPr>
          <w:rFonts w:hint="eastAsia" w:ascii="仿宋_GB2312" w:hAnsi="仿宋_GB2312" w:eastAsia="仿宋_GB2312" w:cs="仿宋_GB2312"/>
          <w:b w:val="0"/>
          <w:bCs w:val="0"/>
          <w:spacing w:val="8"/>
          <w:sz w:val="32"/>
          <w:szCs w:val="32"/>
          <w:lang w:eastAsia="zh-CN"/>
        </w:rPr>
        <w:t>）</w:t>
      </w:r>
      <w:r>
        <w:rPr>
          <w:rFonts w:hint="eastAsia" w:ascii="仿宋_GB2312" w:hAnsi="仿宋_GB2312" w:eastAsia="仿宋_GB2312" w:cs="仿宋_GB2312"/>
          <w:b w:val="0"/>
          <w:bCs w:val="0"/>
          <w:spacing w:val="8"/>
          <w:sz w:val="32"/>
          <w:szCs w:val="32"/>
          <w:lang w:val="en-US" w:eastAsia="zh-CN"/>
        </w:rPr>
        <w:t>基于相关技术成果，形成学术研究报告</w:t>
      </w:r>
      <w:r>
        <w:rPr>
          <w:rFonts w:hint="eastAsia" w:ascii="仿宋_GB2312" w:hAnsi="仿宋_GB2312" w:eastAsia="仿宋_GB2312" w:cs="仿宋_GB2312"/>
          <w:b w:val="0"/>
          <w:bCs w:val="0"/>
          <w:spacing w:val="8"/>
          <w:sz w:val="32"/>
          <w:szCs w:val="32"/>
          <w:lang w:eastAsia="zh-CN"/>
        </w:rPr>
        <w:t>≥1</w:t>
      </w:r>
      <w:r>
        <w:rPr>
          <w:rFonts w:hint="eastAsia" w:ascii="仿宋_GB2312" w:hAnsi="仿宋_GB2312" w:eastAsia="仿宋_GB2312" w:cs="仿宋_GB2312"/>
          <w:b w:val="0"/>
          <w:bCs w:val="0"/>
          <w:spacing w:val="8"/>
          <w:sz w:val="32"/>
          <w:szCs w:val="32"/>
          <w:lang w:val="en-US" w:eastAsia="zh-CN"/>
        </w:rPr>
        <w:t>份</w:t>
      </w:r>
      <w:r>
        <w:rPr>
          <w:rFonts w:hint="eastAsia" w:ascii="仿宋_GB2312" w:hAnsi="仿宋_GB2312" w:eastAsia="仿宋_GB2312" w:cs="仿宋_GB2312"/>
          <w:b w:val="0"/>
          <w:bCs w:val="0"/>
          <w:spacing w:val="8"/>
          <w:sz w:val="32"/>
          <w:szCs w:val="32"/>
          <w:lang w:eastAsia="zh-CN"/>
        </w:rPr>
        <w:t>。</w:t>
      </w:r>
    </w:p>
    <w:p w14:paraId="62186C06">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val="0"/>
          <w:bCs w:val="0"/>
          <w:spacing w:val="8"/>
          <w:sz w:val="32"/>
          <w:szCs w:val="32"/>
          <w:lang w:eastAsia="zh-CN"/>
        </w:rPr>
        <w:t>四、项目实施年限：</w:t>
      </w:r>
      <w:r>
        <w:rPr>
          <w:rFonts w:hint="eastAsia" w:ascii="仿宋_GB2312" w:hAnsi="仿宋_GB2312" w:eastAsia="仿宋_GB2312" w:cs="仿宋_GB2312"/>
          <w:b w:val="0"/>
          <w:bCs w:val="0"/>
          <w:spacing w:val="8"/>
          <w:sz w:val="32"/>
          <w:szCs w:val="32"/>
          <w:lang w:eastAsia="zh-CN"/>
        </w:rPr>
        <w:t>不超过2年</w:t>
      </w:r>
    </w:p>
    <w:p w14:paraId="60085939">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val="0"/>
          <w:bCs w:val="0"/>
          <w:spacing w:val="8"/>
          <w:sz w:val="32"/>
          <w:szCs w:val="32"/>
          <w:lang w:eastAsia="zh-CN"/>
        </w:rPr>
        <w:t>五、资助金额：</w:t>
      </w:r>
      <w:r>
        <w:rPr>
          <w:rFonts w:hint="eastAsia" w:ascii="仿宋_GB2312" w:hAnsi="仿宋_GB2312" w:eastAsia="仿宋_GB2312" w:cs="仿宋_GB2312"/>
          <w:b w:val="0"/>
          <w:bCs w:val="0"/>
          <w:spacing w:val="8"/>
          <w:sz w:val="32"/>
          <w:szCs w:val="32"/>
          <w:lang w:eastAsia="zh-CN"/>
        </w:rPr>
        <w:t>不超过50万元</w:t>
      </w:r>
    </w:p>
    <w:p w14:paraId="06A13AEE">
      <w:pPr>
        <w:spacing w:before="91" w:line="560" w:lineRule="exact"/>
        <w:ind w:right="248"/>
        <w:jc w:val="center"/>
        <w:outlineLvl w:val="0"/>
        <w:rPr>
          <w:rFonts w:hint="eastAsia" w:ascii="仿宋_GB2312" w:hAnsi="仿宋_GB2312" w:eastAsia="仿宋_GB2312" w:cs="仿宋_GB2312"/>
          <w:b w:val="0"/>
          <w:bCs w:val="0"/>
          <w:spacing w:val="19"/>
          <w:sz w:val="32"/>
          <w:szCs w:val="32"/>
          <w:lang w:eastAsia="zh-CN"/>
        </w:rPr>
      </w:pPr>
    </w:p>
    <w:p w14:paraId="0B9C36F6">
      <w:pPr>
        <w:spacing w:before="91" w:line="560" w:lineRule="exact"/>
        <w:ind w:right="248"/>
        <w:jc w:val="center"/>
        <w:outlineLvl w:val="0"/>
        <w:rPr>
          <w:rFonts w:hint="eastAsia" w:ascii="仿宋_GB2312" w:hAnsi="仿宋_GB2312" w:eastAsia="仿宋_GB2312" w:cs="仿宋_GB2312"/>
          <w:b w:val="0"/>
          <w:bCs w:val="0"/>
          <w:spacing w:val="19"/>
          <w:sz w:val="32"/>
          <w:szCs w:val="32"/>
          <w:lang w:eastAsia="zh-CN"/>
        </w:rPr>
      </w:pPr>
    </w:p>
    <w:p w14:paraId="7C4FD741">
      <w:pPr>
        <w:pStyle w:val="3"/>
        <w:spacing w:before="47" w:line="560" w:lineRule="exact"/>
        <w:ind w:right="19"/>
        <w:jc w:val="center"/>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bCs/>
          <w:spacing w:val="8"/>
          <w:sz w:val="32"/>
          <w:szCs w:val="32"/>
          <w:lang w:val="en-US" w:eastAsia="zh-CN"/>
        </w:rPr>
        <w:t>开</w:t>
      </w:r>
      <w:r>
        <w:rPr>
          <w:rFonts w:hint="eastAsia" w:ascii="黑体" w:hAnsi="黑体" w:eastAsia="黑体" w:cs="黑体"/>
          <w:b/>
          <w:bCs/>
          <w:spacing w:val="8"/>
          <w:sz w:val="32"/>
          <w:szCs w:val="32"/>
          <w:lang w:eastAsia="zh-CN"/>
        </w:rPr>
        <w:t>20250</w:t>
      </w:r>
      <w:r>
        <w:rPr>
          <w:rFonts w:hint="eastAsia" w:ascii="黑体" w:hAnsi="黑体" w:eastAsia="黑体" w:cs="黑体"/>
          <w:b/>
          <w:bCs/>
          <w:spacing w:val="8"/>
          <w:sz w:val="32"/>
          <w:szCs w:val="32"/>
          <w:lang w:val="en-US" w:eastAsia="zh-CN"/>
        </w:rPr>
        <w:t>4</w:t>
      </w:r>
      <w:r>
        <w:rPr>
          <w:rFonts w:hint="eastAsia" w:ascii="黑体" w:hAnsi="黑体" w:eastAsia="黑体" w:cs="黑体"/>
          <w:b/>
          <w:bCs/>
          <w:spacing w:val="8"/>
          <w:sz w:val="32"/>
          <w:szCs w:val="32"/>
          <w:lang w:eastAsia="zh-CN"/>
        </w:rPr>
        <w:t>00</w:t>
      </w:r>
      <w:r>
        <w:rPr>
          <w:rFonts w:hint="eastAsia" w:ascii="黑体" w:hAnsi="黑体" w:eastAsia="黑体" w:cs="黑体"/>
          <w:b/>
          <w:bCs/>
          <w:spacing w:val="8"/>
          <w:sz w:val="32"/>
          <w:szCs w:val="32"/>
          <w:lang w:val="en-US" w:eastAsia="zh-CN"/>
        </w:rPr>
        <w:t>6</w:t>
      </w:r>
      <w:r>
        <w:rPr>
          <w:rFonts w:hint="eastAsia" w:ascii="黑体" w:hAnsi="黑体" w:eastAsia="黑体" w:cs="黑体"/>
          <w:b/>
          <w:bCs/>
          <w:spacing w:val="8"/>
          <w:sz w:val="32"/>
          <w:szCs w:val="32"/>
          <w:lang w:eastAsia="zh-CN"/>
        </w:rPr>
        <w:t xml:space="preserve"> 基于多模态数据的肝癌早期风险预测模型建立与智能判读</w:t>
      </w:r>
    </w:p>
    <w:p w14:paraId="7736C04E">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val="0"/>
          <w:bCs w:val="0"/>
          <w:spacing w:val="8"/>
          <w:sz w:val="32"/>
          <w:szCs w:val="32"/>
          <w:lang w:eastAsia="zh-CN"/>
        </w:rPr>
        <w:t>一、领域：</w:t>
      </w:r>
      <w:r>
        <w:rPr>
          <w:rFonts w:hint="eastAsia" w:ascii="仿宋_GB2312" w:hAnsi="仿宋_GB2312" w:eastAsia="仿宋_GB2312" w:cs="仿宋_GB2312"/>
          <w:b w:val="0"/>
          <w:bCs w:val="0"/>
          <w:spacing w:val="8"/>
          <w:sz w:val="32"/>
          <w:szCs w:val="32"/>
          <w:lang w:eastAsia="zh-CN"/>
        </w:rPr>
        <w:t>肝癌、早期模型</w:t>
      </w:r>
    </w:p>
    <w:p w14:paraId="7F8F4832">
      <w:pPr>
        <w:pStyle w:val="3"/>
        <w:spacing w:before="47" w:line="560" w:lineRule="exact"/>
        <w:ind w:right="19"/>
        <w:jc w:val="both"/>
        <w:rPr>
          <w:rFonts w:hint="eastAsia" w:ascii="黑体" w:hAnsi="黑体" w:eastAsia="黑体" w:cs="黑体"/>
          <w:b w:val="0"/>
          <w:bCs w:val="0"/>
          <w:spacing w:val="8"/>
          <w:sz w:val="32"/>
          <w:szCs w:val="32"/>
          <w:lang w:eastAsia="zh-CN"/>
        </w:rPr>
      </w:pPr>
      <w:r>
        <w:rPr>
          <w:rFonts w:hint="eastAsia" w:ascii="黑体" w:hAnsi="黑体" w:eastAsia="黑体" w:cs="黑体"/>
          <w:b w:val="0"/>
          <w:bCs w:val="0"/>
          <w:spacing w:val="8"/>
          <w:sz w:val="32"/>
          <w:szCs w:val="32"/>
          <w:lang w:eastAsia="zh-CN"/>
        </w:rPr>
        <w:t>二、主要研究内容</w:t>
      </w:r>
    </w:p>
    <w:p w14:paraId="56B3201A">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开展肝炎相关肝癌的早期筛查和早期干预研究。基于独立或联合实验室数据模型，量化评估肝癌患者的肝实质功能潜力状况（有效肝功能），采用动态、多模态、多维度的观察模式，开发能够评估肝癌病情轻重程度、早期判断预后及肝病筛查的智能化诊断模型，提升各级医疗机构肝癌实验室检测水平，协助确立个性化治疗方案。</w:t>
      </w:r>
    </w:p>
    <w:p w14:paraId="350F58FE">
      <w:pPr>
        <w:pStyle w:val="3"/>
        <w:numPr>
          <w:ilvl w:val="0"/>
          <w:numId w:val="0"/>
        </w:numPr>
        <w:spacing w:before="47" w:line="560" w:lineRule="exact"/>
        <w:ind w:right="19"/>
        <w:jc w:val="both"/>
        <w:rPr>
          <w:rFonts w:hint="eastAsia" w:ascii="黑体" w:hAnsi="黑体" w:eastAsia="黑体" w:cs="黑体"/>
          <w:b w:val="0"/>
          <w:bCs w:val="0"/>
          <w:spacing w:val="8"/>
          <w:sz w:val="32"/>
          <w:szCs w:val="32"/>
          <w:lang w:eastAsia="zh-CN"/>
        </w:rPr>
      </w:pPr>
      <w:r>
        <w:rPr>
          <w:rFonts w:hint="eastAsia" w:ascii="黑体" w:hAnsi="黑体" w:eastAsia="黑体" w:cs="黑体"/>
          <w:b w:val="0"/>
          <w:bCs w:val="0"/>
          <w:snapToGrid w:val="0"/>
          <w:color w:val="000000"/>
          <w:spacing w:val="8"/>
          <w:sz w:val="32"/>
          <w:szCs w:val="32"/>
          <w:lang w:val="en-US" w:eastAsia="zh-CN" w:bidi="ar-SA"/>
        </w:rPr>
        <w:t>三、</w:t>
      </w:r>
      <w:r>
        <w:rPr>
          <w:rFonts w:hint="eastAsia" w:ascii="黑体" w:hAnsi="黑体" w:eastAsia="黑体" w:cs="黑体"/>
          <w:b w:val="0"/>
          <w:bCs w:val="0"/>
          <w:spacing w:val="8"/>
          <w:sz w:val="32"/>
          <w:szCs w:val="32"/>
          <w:lang w:eastAsia="zh-CN"/>
        </w:rPr>
        <w:t>项目考核指标（项目执行期内）</w:t>
      </w:r>
    </w:p>
    <w:p w14:paraId="0993B55C">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（一）学术指标：</w:t>
      </w:r>
    </w:p>
    <w:p w14:paraId="476D8F20">
      <w:pPr>
        <w:pStyle w:val="3"/>
        <w:spacing w:before="47" w:line="560" w:lineRule="exact"/>
        <w:ind w:left="30" w:right="19" w:firstLine="648"/>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发表学术论文≥1篇或申请专利≥1项；</w:t>
      </w:r>
    </w:p>
    <w:p w14:paraId="05CC19EB">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（二）技术指标：</w:t>
      </w:r>
    </w:p>
    <w:p w14:paraId="0104584A">
      <w:pPr>
        <w:pStyle w:val="3"/>
        <w:numPr>
          <w:ilvl w:val="0"/>
          <w:numId w:val="0"/>
        </w:numPr>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基于双向人群队列数据，在PAGE-B模型、GALAD模型的基础上，纳入多模态指标，建立新的肝癌风险预测模型，并开发能够识别肝癌早期风险的AI智能判读系统，</w:t>
      </w:r>
      <w:r>
        <w:rPr>
          <w:rFonts w:hint="eastAsia" w:ascii="仿宋_GB2312" w:hAnsi="仿宋_GB2312" w:eastAsia="仿宋_GB2312" w:cs="仿宋_GB2312"/>
          <w:b w:val="0"/>
          <w:bCs w:val="0"/>
          <w:spacing w:val="8"/>
          <w:sz w:val="32"/>
          <w:szCs w:val="32"/>
          <w:lang w:val="en-US" w:eastAsia="zh-CN"/>
        </w:rPr>
        <w:t>形成</w:t>
      </w:r>
      <w:r>
        <w:rPr>
          <w:rFonts w:hint="eastAsia" w:ascii="仿宋_GB2312" w:hAnsi="仿宋_GB2312" w:eastAsia="仿宋_GB2312" w:cs="仿宋_GB2312"/>
          <w:b w:val="0"/>
          <w:bCs w:val="0"/>
          <w:color w:val="auto"/>
          <w:kern w:val="2"/>
          <w:sz w:val="32"/>
          <w:szCs w:val="32"/>
          <w:lang w:val="en-US" w:eastAsia="zh-CN" w:bidi="ar-SA"/>
        </w:rPr>
        <w:t>≥1</w:t>
      </w:r>
      <w:r>
        <w:rPr>
          <w:rFonts w:hint="eastAsia" w:ascii="仿宋_GB2312" w:hAnsi="仿宋_GB2312" w:eastAsia="仿宋_GB2312" w:cs="仿宋_GB2312"/>
          <w:b w:val="0"/>
          <w:bCs w:val="0"/>
          <w:spacing w:val="8"/>
          <w:sz w:val="32"/>
          <w:szCs w:val="32"/>
          <w:lang w:val="en-US" w:eastAsia="zh-CN"/>
        </w:rPr>
        <w:t>份高质量临床研究报告。</w:t>
      </w:r>
    </w:p>
    <w:p w14:paraId="0092C29D">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val="0"/>
          <w:bCs w:val="0"/>
          <w:spacing w:val="8"/>
          <w:sz w:val="32"/>
          <w:szCs w:val="32"/>
          <w:lang w:eastAsia="zh-CN"/>
        </w:rPr>
        <w:t>四、项目实施年限：</w:t>
      </w:r>
      <w:r>
        <w:rPr>
          <w:rFonts w:hint="eastAsia" w:ascii="仿宋_GB2312" w:hAnsi="仿宋_GB2312" w:eastAsia="仿宋_GB2312" w:cs="仿宋_GB2312"/>
          <w:b w:val="0"/>
          <w:bCs w:val="0"/>
          <w:spacing w:val="8"/>
          <w:sz w:val="32"/>
          <w:szCs w:val="32"/>
          <w:lang w:eastAsia="zh-CN"/>
        </w:rPr>
        <w:t>不超过2年</w:t>
      </w:r>
    </w:p>
    <w:p w14:paraId="3CB05C7E">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val="0"/>
          <w:bCs w:val="0"/>
          <w:spacing w:val="8"/>
          <w:sz w:val="32"/>
          <w:szCs w:val="32"/>
          <w:lang w:eastAsia="zh-CN"/>
        </w:rPr>
        <w:t>五、资助金额：</w:t>
      </w:r>
      <w:r>
        <w:rPr>
          <w:rFonts w:hint="eastAsia" w:ascii="仿宋_GB2312" w:hAnsi="仿宋_GB2312" w:eastAsia="仿宋_GB2312" w:cs="仿宋_GB2312"/>
          <w:b w:val="0"/>
          <w:bCs w:val="0"/>
          <w:spacing w:val="8"/>
          <w:sz w:val="32"/>
          <w:szCs w:val="32"/>
          <w:lang w:eastAsia="zh-CN"/>
        </w:rPr>
        <w:t>不超过50万元</w:t>
      </w:r>
    </w:p>
    <w:p w14:paraId="66A02F3F">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p>
    <w:p w14:paraId="301A66EB">
      <w:pPr>
        <w:pStyle w:val="3"/>
        <w:spacing w:before="47" w:line="560" w:lineRule="exact"/>
        <w:ind w:right="19"/>
        <w:jc w:val="center"/>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bCs/>
          <w:spacing w:val="8"/>
          <w:sz w:val="32"/>
          <w:szCs w:val="32"/>
          <w:lang w:val="en-US" w:eastAsia="zh-CN"/>
        </w:rPr>
        <w:t>开</w:t>
      </w:r>
      <w:r>
        <w:rPr>
          <w:rFonts w:hint="eastAsia" w:ascii="黑体" w:hAnsi="黑体" w:eastAsia="黑体" w:cs="黑体"/>
          <w:b/>
          <w:bCs/>
          <w:spacing w:val="8"/>
          <w:sz w:val="32"/>
          <w:szCs w:val="32"/>
          <w:lang w:eastAsia="zh-CN"/>
        </w:rPr>
        <w:t>202</w:t>
      </w:r>
      <w:r>
        <w:rPr>
          <w:rFonts w:hint="eastAsia" w:ascii="黑体" w:hAnsi="黑体" w:eastAsia="黑体" w:cs="黑体"/>
          <w:b/>
          <w:bCs/>
          <w:spacing w:val="8"/>
          <w:sz w:val="32"/>
          <w:szCs w:val="32"/>
          <w:lang w:val="en-US" w:eastAsia="zh-CN"/>
        </w:rPr>
        <w:t>504</w:t>
      </w:r>
      <w:r>
        <w:rPr>
          <w:rFonts w:hint="eastAsia" w:ascii="黑体" w:hAnsi="黑体" w:eastAsia="黑体" w:cs="黑体"/>
          <w:b/>
          <w:bCs/>
          <w:spacing w:val="8"/>
          <w:sz w:val="32"/>
          <w:szCs w:val="32"/>
          <w:lang w:eastAsia="zh-CN"/>
        </w:rPr>
        <w:t>00</w:t>
      </w:r>
      <w:r>
        <w:rPr>
          <w:rFonts w:hint="eastAsia" w:ascii="黑体" w:hAnsi="黑体" w:eastAsia="黑体" w:cs="黑体"/>
          <w:b/>
          <w:bCs/>
          <w:spacing w:val="8"/>
          <w:sz w:val="32"/>
          <w:szCs w:val="32"/>
          <w:lang w:val="en-US" w:eastAsia="zh-CN"/>
        </w:rPr>
        <w:t>7</w:t>
      </w:r>
      <w:r>
        <w:rPr>
          <w:rFonts w:hint="eastAsia" w:ascii="黑体" w:hAnsi="黑体" w:eastAsia="黑体" w:cs="黑体"/>
          <w:b/>
          <w:bCs/>
          <w:spacing w:val="8"/>
          <w:sz w:val="32"/>
          <w:szCs w:val="32"/>
          <w:lang w:eastAsia="zh-CN"/>
        </w:rPr>
        <w:t xml:space="preserve"> 关键标志物诱导肿瘤发生发展分子机制研究</w:t>
      </w:r>
    </w:p>
    <w:p w14:paraId="3DB4ECE8">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val="0"/>
          <w:bCs w:val="0"/>
          <w:spacing w:val="8"/>
          <w:sz w:val="32"/>
          <w:szCs w:val="32"/>
          <w:lang w:eastAsia="zh-CN"/>
        </w:rPr>
        <w:t>一、领域：</w:t>
      </w:r>
      <w:r>
        <w:rPr>
          <w:rFonts w:hint="eastAsia" w:ascii="仿宋_GB2312" w:hAnsi="仿宋_GB2312" w:eastAsia="仿宋_GB2312" w:cs="仿宋_GB2312"/>
          <w:b w:val="0"/>
          <w:bCs w:val="0"/>
          <w:spacing w:val="8"/>
          <w:sz w:val="32"/>
          <w:szCs w:val="32"/>
          <w:lang w:eastAsia="zh-CN"/>
        </w:rPr>
        <w:t>肿瘤、机制研究</w:t>
      </w:r>
    </w:p>
    <w:p w14:paraId="7E1C0E78">
      <w:pPr>
        <w:pStyle w:val="3"/>
        <w:spacing w:before="47" w:line="560" w:lineRule="exact"/>
        <w:ind w:right="19"/>
        <w:jc w:val="both"/>
        <w:rPr>
          <w:rFonts w:hint="eastAsia" w:ascii="黑体" w:hAnsi="黑体" w:eastAsia="黑体" w:cs="黑体"/>
          <w:b w:val="0"/>
          <w:bCs w:val="0"/>
          <w:spacing w:val="8"/>
          <w:sz w:val="32"/>
          <w:szCs w:val="32"/>
          <w:lang w:eastAsia="zh-CN"/>
        </w:rPr>
      </w:pPr>
      <w:r>
        <w:rPr>
          <w:rFonts w:hint="eastAsia" w:ascii="黑体" w:hAnsi="黑体" w:eastAsia="黑体" w:cs="黑体"/>
          <w:b w:val="0"/>
          <w:bCs w:val="0"/>
          <w:spacing w:val="8"/>
          <w:sz w:val="32"/>
          <w:szCs w:val="32"/>
          <w:lang w:eastAsia="zh-CN"/>
        </w:rPr>
        <w:t>二、主要研究内容</w:t>
      </w:r>
    </w:p>
    <w:p w14:paraId="731356E0">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结合分子生物学、细胞生物学、病理学等手段，开发具有临床意义的肿瘤特异性标志物，并阐述其调控肿瘤发生发展的作用机制。提升检验医学在肿瘤早期筛查与诊断中的价值。收集临床样本，精确检测分子标志物的表达情况，分析其与肿瘤分期的相关性。深入探究关键标志物诱导肿瘤发生发展的具体分子机制。并分析细胞凋亡、增殖、转移等细胞功能的变化。</w:t>
      </w:r>
    </w:p>
    <w:p w14:paraId="59AC4193">
      <w:pPr>
        <w:pStyle w:val="3"/>
        <w:numPr>
          <w:ilvl w:val="0"/>
          <w:numId w:val="0"/>
        </w:numPr>
        <w:spacing w:before="47" w:line="560" w:lineRule="exact"/>
        <w:ind w:left="720" w:right="19" w:hanging="720"/>
        <w:jc w:val="both"/>
        <w:rPr>
          <w:rFonts w:hint="eastAsia" w:ascii="黑体" w:hAnsi="黑体" w:eastAsia="黑体" w:cs="黑体"/>
          <w:b w:val="0"/>
          <w:bCs w:val="0"/>
          <w:spacing w:val="8"/>
          <w:sz w:val="32"/>
          <w:szCs w:val="32"/>
          <w:lang w:eastAsia="zh-CN"/>
        </w:rPr>
      </w:pPr>
      <w:r>
        <w:rPr>
          <w:rFonts w:hint="eastAsia" w:ascii="黑体" w:hAnsi="黑体" w:eastAsia="黑体" w:cs="黑体"/>
          <w:b w:val="0"/>
          <w:bCs w:val="0"/>
          <w:snapToGrid w:val="0"/>
          <w:color w:val="000000"/>
          <w:spacing w:val="8"/>
          <w:sz w:val="32"/>
          <w:szCs w:val="32"/>
          <w:lang w:val="en-US" w:eastAsia="zh-CN" w:bidi="ar-SA"/>
        </w:rPr>
        <w:t>三、</w:t>
      </w:r>
      <w:r>
        <w:rPr>
          <w:rFonts w:hint="eastAsia" w:ascii="黑体" w:hAnsi="黑体" w:eastAsia="黑体" w:cs="黑体"/>
          <w:b w:val="0"/>
          <w:bCs w:val="0"/>
          <w:spacing w:val="8"/>
          <w:sz w:val="32"/>
          <w:szCs w:val="32"/>
          <w:lang w:eastAsia="zh-CN"/>
        </w:rPr>
        <w:t>项目考核指标（项目执行期内）</w:t>
      </w:r>
    </w:p>
    <w:p w14:paraId="6E3F5AFF">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（一）学术指标：</w:t>
      </w:r>
    </w:p>
    <w:p w14:paraId="2363A53C">
      <w:pPr>
        <w:pStyle w:val="3"/>
        <w:spacing w:before="47" w:line="560" w:lineRule="exact"/>
        <w:ind w:left="30" w:right="19" w:firstLine="648"/>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发表学术论文≥1篇或申请专利≥1项；</w:t>
      </w:r>
    </w:p>
    <w:p w14:paraId="43CCDC54">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（二）技术指标：</w:t>
      </w:r>
    </w:p>
    <w:p w14:paraId="34FAE35C">
      <w:pPr>
        <w:pStyle w:val="3"/>
        <w:numPr>
          <w:ilvl w:val="0"/>
          <w:numId w:val="0"/>
        </w:numPr>
        <w:spacing w:before="47" w:line="560" w:lineRule="exact"/>
        <w:ind w:left="0" w:leftChars="0" w:right="19"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（1）基于临床病例样本，精确检测分子标志物的表达情况，分析其与肿瘤分期的相关性。深入探究关键标志物诱导肿瘤发生发展的具体分子机制。并分析细胞凋亡、增殖、转移等细胞功能的变化。</w:t>
      </w:r>
    </w:p>
    <w:p w14:paraId="426C9DC6">
      <w:pPr>
        <w:pStyle w:val="3"/>
        <w:numPr>
          <w:ilvl w:val="0"/>
          <w:numId w:val="0"/>
        </w:numPr>
        <w:spacing w:before="47" w:line="560" w:lineRule="exact"/>
        <w:ind w:left="0" w:leftChars="0" w:right="19" w:firstLine="640"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sz w:val="32"/>
          <w:szCs w:val="32"/>
          <w:lang w:val="en-US" w:eastAsia="zh-CN"/>
        </w:rPr>
        <w:t>（2）项目完成后，分析研究成果在肿瘤临床诊断、治疗、预防等方面的应用前景和潜在价值，阐述研究成果的创新性并形成详细的课题研究报告</w:t>
      </w:r>
      <w:r>
        <w:rPr>
          <w:rFonts w:hint="eastAsia" w:ascii="仿宋_GB2312" w:hAnsi="仿宋_GB2312" w:eastAsia="仿宋_GB2312" w:cs="仿宋_GB2312"/>
          <w:b w:val="0"/>
          <w:bCs w:val="0"/>
          <w:spacing w:val="8"/>
          <w:sz w:val="32"/>
          <w:szCs w:val="32"/>
          <w:lang w:eastAsia="zh-CN"/>
        </w:rPr>
        <w:t>≥1</w:t>
      </w:r>
      <w:r>
        <w:rPr>
          <w:rFonts w:hint="eastAsia" w:ascii="仿宋_GB2312" w:hAnsi="仿宋_GB2312" w:eastAsia="仿宋_GB2312" w:cs="仿宋_GB2312"/>
          <w:b w:val="0"/>
          <w:bCs w:val="0"/>
          <w:spacing w:val="8"/>
          <w:sz w:val="32"/>
          <w:szCs w:val="32"/>
          <w:lang w:val="en-US" w:eastAsia="zh-CN"/>
        </w:rPr>
        <w:t>份</w:t>
      </w:r>
      <w:r>
        <w:rPr>
          <w:rFonts w:hint="eastAsia" w:ascii="仿宋_GB2312" w:hAnsi="仿宋_GB2312" w:eastAsia="仿宋_GB2312" w:cs="仿宋_GB2312"/>
          <w:sz w:val="32"/>
          <w:szCs w:val="32"/>
          <w:lang w:val="en-US" w:eastAsia="zh-CN"/>
        </w:rPr>
        <w:t>。</w:t>
      </w:r>
    </w:p>
    <w:p w14:paraId="2D178C2D">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val="0"/>
          <w:bCs w:val="0"/>
          <w:spacing w:val="8"/>
          <w:sz w:val="32"/>
          <w:szCs w:val="32"/>
          <w:lang w:eastAsia="zh-CN"/>
        </w:rPr>
        <w:t>四、项目实施年限：</w:t>
      </w:r>
      <w:r>
        <w:rPr>
          <w:rFonts w:hint="eastAsia" w:ascii="仿宋_GB2312" w:hAnsi="仿宋_GB2312" w:eastAsia="仿宋_GB2312" w:cs="仿宋_GB2312"/>
          <w:b w:val="0"/>
          <w:bCs w:val="0"/>
          <w:spacing w:val="8"/>
          <w:sz w:val="32"/>
          <w:szCs w:val="32"/>
          <w:lang w:eastAsia="zh-CN"/>
        </w:rPr>
        <w:t>不超过2年</w:t>
      </w:r>
    </w:p>
    <w:p w14:paraId="5619A068">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val="0"/>
          <w:bCs w:val="0"/>
          <w:spacing w:val="8"/>
          <w:sz w:val="32"/>
          <w:szCs w:val="32"/>
          <w:lang w:eastAsia="zh-CN"/>
        </w:rPr>
        <w:t>五、资助金额：</w:t>
      </w:r>
      <w:r>
        <w:rPr>
          <w:rFonts w:hint="eastAsia" w:ascii="仿宋_GB2312" w:hAnsi="仿宋_GB2312" w:eastAsia="仿宋_GB2312" w:cs="仿宋_GB2312"/>
          <w:b w:val="0"/>
          <w:bCs w:val="0"/>
          <w:spacing w:val="8"/>
          <w:sz w:val="32"/>
          <w:szCs w:val="32"/>
          <w:lang w:eastAsia="zh-CN"/>
        </w:rPr>
        <w:t>不超过10万元</w:t>
      </w:r>
    </w:p>
    <w:p w14:paraId="3D8DB8EB">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p>
    <w:p w14:paraId="3BFFE76D">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p>
    <w:p w14:paraId="385EEFA8">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p>
    <w:p w14:paraId="237A6B7B">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p>
    <w:p w14:paraId="1551A49B">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p>
    <w:p w14:paraId="781AB9EF">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p>
    <w:p w14:paraId="4306D873">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p>
    <w:p w14:paraId="53620D99">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p>
    <w:p w14:paraId="70BCCDC8">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p>
    <w:p w14:paraId="242C7798">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p>
    <w:p w14:paraId="3C8731C5">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p>
    <w:p w14:paraId="08537B10">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p>
    <w:p w14:paraId="432D87DD">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p>
    <w:p w14:paraId="25C52172">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p>
    <w:p w14:paraId="04148230">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p>
    <w:p w14:paraId="7E5018EB">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p>
    <w:p w14:paraId="15FDFBD1">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p>
    <w:p w14:paraId="796CD7D3">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p>
    <w:p w14:paraId="6104D939">
      <w:pPr>
        <w:pStyle w:val="3"/>
        <w:spacing w:before="47" w:line="560" w:lineRule="exact"/>
        <w:ind w:right="19"/>
        <w:jc w:val="center"/>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bCs/>
          <w:spacing w:val="8"/>
          <w:sz w:val="32"/>
          <w:szCs w:val="32"/>
          <w:lang w:val="en-US" w:eastAsia="zh-CN"/>
        </w:rPr>
        <w:t>开</w:t>
      </w:r>
      <w:r>
        <w:rPr>
          <w:rFonts w:hint="eastAsia" w:ascii="黑体" w:hAnsi="黑体" w:eastAsia="黑体" w:cs="黑体"/>
          <w:b/>
          <w:bCs/>
          <w:spacing w:val="8"/>
          <w:sz w:val="32"/>
          <w:szCs w:val="32"/>
          <w:lang w:eastAsia="zh-CN"/>
        </w:rPr>
        <w:t>20250</w:t>
      </w:r>
      <w:r>
        <w:rPr>
          <w:rFonts w:hint="eastAsia" w:ascii="黑体" w:hAnsi="黑体" w:eastAsia="黑体" w:cs="黑体"/>
          <w:b/>
          <w:bCs/>
          <w:spacing w:val="8"/>
          <w:sz w:val="32"/>
          <w:szCs w:val="32"/>
          <w:lang w:val="en-US" w:eastAsia="zh-CN"/>
        </w:rPr>
        <w:t>4</w:t>
      </w:r>
      <w:r>
        <w:rPr>
          <w:rFonts w:hint="eastAsia" w:ascii="黑体" w:hAnsi="黑体" w:eastAsia="黑体" w:cs="黑体"/>
          <w:b/>
          <w:bCs/>
          <w:spacing w:val="8"/>
          <w:sz w:val="32"/>
          <w:szCs w:val="32"/>
          <w:lang w:eastAsia="zh-CN"/>
        </w:rPr>
        <w:t>0</w:t>
      </w:r>
      <w:r>
        <w:rPr>
          <w:rFonts w:hint="eastAsia" w:ascii="黑体" w:hAnsi="黑体" w:eastAsia="黑体" w:cs="黑体"/>
          <w:b/>
          <w:bCs/>
          <w:spacing w:val="8"/>
          <w:sz w:val="32"/>
          <w:szCs w:val="32"/>
          <w:lang w:val="en-US" w:eastAsia="zh-CN"/>
        </w:rPr>
        <w:t>08</w:t>
      </w:r>
      <w:r>
        <w:rPr>
          <w:rFonts w:hint="eastAsia" w:ascii="黑体" w:hAnsi="黑体" w:eastAsia="黑体" w:cs="黑体"/>
          <w:b/>
          <w:bCs/>
          <w:spacing w:val="8"/>
          <w:sz w:val="32"/>
          <w:szCs w:val="32"/>
          <w:lang w:eastAsia="zh-CN"/>
        </w:rPr>
        <w:t xml:space="preserve">  基于质谱与多组学技术的耐药菌感染精准诊疗体系构建</w:t>
      </w:r>
    </w:p>
    <w:p w14:paraId="1AF2B24B">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val="0"/>
          <w:bCs w:val="0"/>
          <w:spacing w:val="8"/>
          <w:sz w:val="32"/>
          <w:szCs w:val="32"/>
          <w:lang w:eastAsia="zh-CN"/>
        </w:rPr>
        <w:t>一、领域</w:t>
      </w:r>
      <w:r>
        <w:rPr>
          <w:rFonts w:hint="eastAsia" w:ascii="仿宋_GB2312" w:hAnsi="仿宋_GB2312" w:eastAsia="仿宋_GB2312" w:cs="仿宋_GB2312"/>
          <w:b w:val="0"/>
          <w:bCs w:val="0"/>
          <w:spacing w:val="8"/>
          <w:sz w:val="32"/>
          <w:szCs w:val="32"/>
          <w:lang w:eastAsia="zh-CN"/>
        </w:rPr>
        <w:t>：微生物</w:t>
      </w:r>
    </w:p>
    <w:p w14:paraId="342242CC">
      <w:pPr>
        <w:pStyle w:val="3"/>
        <w:spacing w:before="47" w:line="560" w:lineRule="exact"/>
        <w:ind w:right="19"/>
        <w:jc w:val="both"/>
        <w:rPr>
          <w:rFonts w:hint="eastAsia" w:ascii="黑体" w:hAnsi="黑体" w:eastAsia="黑体" w:cs="黑体"/>
          <w:b w:val="0"/>
          <w:bCs w:val="0"/>
          <w:spacing w:val="8"/>
          <w:sz w:val="32"/>
          <w:szCs w:val="32"/>
          <w:lang w:eastAsia="zh-CN"/>
        </w:rPr>
      </w:pPr>
      <w:r>
        <w:rPr>
          <w:rFonts w:hint="eastAsia" w:ascii="黑体" w:hAnsi="黑体" w:eastAsia="黑体" w:cs="黑体"/>
          <w:b w:val="0"/>
          <w:bCs w:val="0"/>
          <w:spacing w:val="8"/>
          <w:sz w:val="32"/>
          <w:szCs w:val="32"/>
          <w:lang w:eastAsia="zh-CN"/>
        </w:rPr>
        <w:t>二、主要研究内容</w:t>
      </w:r>
    </w:p>
    <w:p w14:paraId="0F3AC6D4">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探索微生物耐药机制及临床预测模型构建：整合微生物耐药数据与质谱图谱特征，运用多组学技术深入解析耐药分子机制，并进行临床验证与多维度模型构建。</w:t>
      </w:r>
    </w:p>
    <w:p w14:paraId="3BE918ED">
      <w:pPr>
        <w:pStyle w:val="3"/>
        <w:spacing w:before="47" w:line="560" w:lineRule="exact"/>
        <w:ind w:right="19" w:firstLine="0" w:firstLineChars="0"/>
        <w:jc w:val="both"/>
        <w:rPr>
          <w:rFonts w:hint="eastAsia" w:ascii="黑体" w:hAnsi="黑体" w:eastAsia="黑体" w:cs="黑体"/>
          <w:b w:val="0"/>
          <w:bCs w:val="0"/>
          <w:spacing w:val="8"/>
          <w:sz w:val="32"/>
          <w:szCs w:val="32"/>
          <w:lang w:eastAsia="zh-CN"/>
        </w:rPr>
      </w:pPr>
      <w:r>
        <w:rPr>
          <w:rFonts w:hint="eastAsia" w:ascii="黑体" w:hAnsi="黑体" w:eastAsia="黑体" w:cs="黑体"/>
          <w:b w:val="0"/>
          <w:bCs w:val="0"/>
          <w:spacing w:val="8"/>
          <w:sz w:val="32"/>
          <w:szCs w:val="32"/>
          <w:lang w:eastAsia="zh-CN"/>
        </w:rPr>
        <w:t>三、项目考核指标（项目执行期内）</w:t>
      </w:r>
    </w:p>
    <w:p w14:paraId="0D54656A">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（一）学术指标：</w:t>
      </w:r>
    </w:p>
    <w:p w14:paraId="41799EA2">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发表核心或SCI论文≥2篇；</w:t>
      </w:r>
    </w:p>
    <w:p w14:paraId="416B3528">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（二）技术指标：</w:t>
      </w:r>
    </w:p>
    <w:p w14:paraId="2D2467BB">
      <w:pPr>
        <w:pStyle w:val="3"/>
        <w:spacing w:before="47" w:line="560" w:lineRule="exact"/>
        <w:ind w:right="19" w:firstLine="672" w:firstLineChars="200"/>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需在100例以上的受试者中开展，为重症感染患者提供快速诊断和精准治疗策略，生成</w:t>
      </w:r>
      <w:r>
        <w:rPr>
          <w:rFonts w:hint="eastAsia" w:ascii="仿宋_GB2312" w:hAnsi="仿宋_GB2312" w:eastAsia="仿宋_GB2312" w:cs="仿宋_GB2312"/>
          <w:b w:val="0"/>
          <w:bCs w:val="0"/>
          <w:spacing w:val="8"/>
          <w:sz w:val="32"/>
          <w:szCs w:val="32"/>
          <w:lang w:val="en-US" w:eastAsia="zh-CN"/>
        </w:rPr>
        <w:t>≥1份</w:t>
      </w:r>
      <w:r>
        <w:rPr>
          <w:rFonts w:hint="eastAsia" w:ascii="仿宋_GB2312" w:hAnsi="仿宋_GB2312" w:eastAsia="仿宋_GB2312" w:cs="仿宋_GB2312"/>
          <w:b w:val="0"/>
          <w:bCs w:val="0"/>
          <w:spacing w:val="8"/>
          <w:sz w:val="32"/>
          <w:szCs w:val="32"/>
          <w:lang w:eastAsia="zh-CN"/>
        </w:rPr>
        <w:t>数据分析报告。</w:t>
      </w:r>
    </w:p>
    <w:p w14:paraId="4318520C">
      <w:pPr>
        <w:pStyle w:val="3"/>
        <w:spacing w:before="47" w:line="560" w:lineRule="exact"/>
        <w:ind w:right="19" w:firstLine="0" w:firstLineChars="0"/>
        <w:jc w:val="both"/>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val="0"/>
          <w:bCs w:val="0"/>
          <w:spacing w:val="8"/>
          <w:sz w:val="32"/>
          <w:szCs w:val="32"/>
          <w:lang w:eastAsia="zh-CN"/>
        </w:rPr>
        <w:t>四、项目实施年限：</w:t>
      </w:r>
      <w:r>
        <w:rPr>
          <w:rFonts w:hint="eastAsia" w:ascii="仿宋_GB2312" w:hAnsi="仿宋_GB2312" w:eastAsia="仿宋_GB2312" w:cs="仿宋_GB2312"/>
          <w:b w:val="0"/>
          <w:bCs w:val="0"/>
          <w:spacing w:val="8"/>
          <w:sz w:val="32"/>
          <w:szCs w:val="32"/>
          <w:lang w:eastAsia="zh-CN"/>
        </w:rPr>
        <w:t>不超过2年</w:t>
      </w:r>
    </w:p>
    <w:p w14:paraId="6935D2BA">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val="0"/>
          <w:bCs w:val="0"/>
          <w:spacing w:val="8"/>
          <w:sz w:val="32"/>
          <w:szCs w:val="32"/>
          <w:lang w:eastAsia="zh-CN"/>
        </w:rPr>
        <w:t>五、资助金额：</w:t>
      </w:r>
      <w:r>
        <w:rPr>
          <w:rFonts w:hint="eastAsia" w:ascii="仿宋_GB2312" w:hAnsi="仿宋_GB2312" w:eastAsia="仿宋_GB2312" w:cs="仿宋_GB2312"/>
          <w:b w:val="0"/>
          <w:bCs w:val="0"/>
          <w:spacing w:val="8"/>
          <w:sz w:val="32"/>
          <w:szCs w:val="32"/>
          <w:lang w:eastAsia="zh-CN"/>
        </w:rPr>
        <w:t>不超过50万元</w:t>
      </w:r>
    </w:p>
    <w:p w14:paraId="44D2C4B4">
      <w:pPr>
        <w:pStyle w:val="3"/>
        <w:spacing w:before="47" w:line="560" w:lineRule="exact"/>
        <w:ind w:right="19"/>
        <w:jc w:val="center"/>
        <w:rPr>
          <w:rFonts w:hint="eastAsia" w:ascii="黑体" w:hAnsi="黑体" w:eastAsia="黑体" w:cs="黑体"/>
          <w:b/>
          <w:bCs/>
          <w:spacing w:val="8"/>
          <w:sz w:val="32"/>
          <w:szCs w:val="32"/>
          <w:lang w:val="en-US" w:eastAsia="zh-CN"/>
        </w:rPr>
      </w:pPr>
    </w:p>
    <w:p w14:paraId="32C2C7FD">
      <w:pPr>
        <w:pStyle w:val="3"/>
        <w:spacing w:before="47" w:line="560" w:lineRule="exact"/>
        <w:ind w:right="19"/>
        <w:jc w:val="center"/>
        <w:rPr>
          <w:rFonts w:hint="eastAsia" w:ascii="黑体" w:hAnsi="黑体" w:eastAsia="黑体" w:cs="黑体"/>
          <w:b/>
          <w:bCs/>
          <w:spacing w:val="8"/>
          <w:sz w:val="32"/>
          <w:szCs w:val="32"/>
          <w:lang w:val="en-US" w:eastAsia="zh-CN"/>
        </w:rPr>
      </w:pPr>
    </w:p>
    <w:p w14:paraId="1681561D">
      <w:pPr>
        <w:pStyle w:val="3"/>
        <w:spacing w:before="47" w:line="560" w:lineRule="exact"/>
        <w:ind w:right="19"/>
        <w:jc w:val="center"/>
        <w:rPr>
          <w:rFonts w:hint="eastAsia" w:ascii="黑体" w:hAnsi="黑体" w:eastAsia="黑体" w:cs="黑体"/>
          <w:b/>
          <w:bCs/>
          <w:spacing w:val="8"/>
          <w:sz w:val="32"/>
          <w:szCs w:val="32"/>
          <w:lang w:val="en-US" w:eastAsia="zh-CN"/>
        </w:rPr>
      </w:pPr>
    </w:p>
    <w:p w14:paraId="38F6C707">
      <w:pPr>
        <w:pStyle w:val="3"/>
        <w:spacing w:before="47" w:line="560" w:lineRule="exact"/>
        <w:ind w:right="19"/>
        <w:jc w:val="center"/>
        <w:rPr>
          <w:rFonts w:hint="eastAsia" w:ascii="黑体" w:hAnsi="黑体" w:eastAsia="黑体" w:cs="黑体"/>
          <w:b/>
          <w:bCs/>
          <w:spacing w:val="8"/>
          <w:sz w:val="32"/>
          <w:szCs w:val="32"/>
          <w:lang w:val="en-US" w:eastAsia="zh-CN"/>
        </w:rPr>
      </w:pPr>
    </w:p>
    <w:p w14:paraId="5BA2BFAD">
      <w:pPr>
        <w:pStyle w:val="3"/>
        <w:spacing w:before="47" w:line="560" w:lineRule="exact"/>
        <w:ind w:right="19"/>
        <w:jc w:val="center"/>
        <w:rPr>
          <w:rFonts w:hint="eastAsia" w:ascii="黑体" w:hAnsi="黑体" w:eastAsia="黑体" w:cs="黑体"/>
          <w:b/>
          <w:bCs/>
          <w:spacing w:val="8"/>
          <w:sz w:val="32"/>
          <w:szCs w:val="32"/>
          <w:lang w:val="en-US" w:eastAsia="zh-CN"/>
        </w:rPr>
      </w:pPr>
    </w:p>
    <w:p w14:paraId="00C09C18">
      <w:pPr>
        <w:pStyle w:val="3"/>
        <w:spacing w:before="47" w:line="560" w:lineRule="exact"/>
        <w:ind w:right="19"/>
        <w:jc w:val="center"/>
        <w:rPr>
          <w:rFonts w:hint="eastAsia" w:ascii="黑体" w:hAnsi="黑体" w:eastAsia="黑体" w:cs="黑体"/>
          <w:b/>
          <w:bCs/>
          <w:spacing w:val="8"/>
          <w:sz w:val="32"/>
          <w:szCs w:val="32"/>
          <w:lang w:eastAsia="zh-CN"/>
        </w:rPr>
      </w:pPr>
      <w:r>
        <w:rPr>
          <w:rFonts w:hint="eastAsia" w:ascii="黑体" w:hAnsi="黑体" w:eastAsia="黑体" w:cs="黑体"/>
          <w:b/>
          <w:bCs/>
          <w:spacing w:val="8"/>
          <w:sz w:val="32"/>
          <w:szCs w:val="32"/>
          <w:lang w:val="en-US" w:eastAsia="zh-CN"/>
        </w:rPr>
        <w:t>开</w:t>
      </w:r>
      <w:r>
        <w:rPr>
          <w:rFonts w:hint="eastAsia" w:ascii="黑体" w:hAnsi="黑体" w:eastAsia="黑体" w:cs="黑体"/>
          <w:b/>
          <w:bCs/>
          <w:spacing w:val="8"/>
          <w:sz w:val="32"/>
          <w:szCs w:val="32"/>
          <w:lang w:eastAsia="zh-CN"/>
        </w:rPr>
        <w:t>20250</w:t>
      </w:r>
      <w:r>
        <w:rPr>
          <w:rFonts w:hint="eastAsia" w:ascii="黑体" w:hAnsi="黑体" w:eastAsia="黑体" w:cs="黑体"/>
          <w:b/>
          <w:bCs/>
          <w:spacing w:val="8"/>
          <w:sz w:val="32"/>
          <w:szCs w:val="32"/>
          <w:lang w:val="en-US" w:eastAsia="zh-CN"/>
        </w:rPr>
        <w:t>4009</w:t>
      </w:r>
      <w:r>
        <w:rPr>
          <w:rFonts w:hint="eastAsia" w:ascii="黑体" w:hAnsi="黑体" w:eastAsia="黑体" w:cs="黑体"/>
          <w:b/>
          <w:bCs/>
          <w:spacing w:val="8"/>
          <w:sz w:val="32"/>
          <w:szCs w:val="32"/>
          <w:lang w:eastAsia="zh-CN"/>
        </w:rPr>
        <w:t xml:space="preserve"> 国产高端化学发光分析系统性激素临床性能评估</w:t>
      </w:r>
    </w:p>
    <w:p w14:paraId="1F2632BA">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val="0"/>
          <w:bCs w:val="0"/>
          <w:spacing w:val="8"/>
          <w:sz w:val="32"/>
          <w:szCs w:val="32"/>
          <w:lang w:eastAsia="zh-CN"/>
        </w:rPr>
        <w:t>一、领域：</w:t>
      </w:r>
      <w:r>
        <w:rPr>
          <w:rFonts w:hint="eastAsia" w:ascii="仿宋_GB2312" w:hAnsi="仿宋_GB2312" w:eastAsia="仿宋_GB2312" w:cs="仿宋_GB2312"/>
          <w:b w:val="0"/>
          <w:bCs w:val="0"/>
          <w:spacing w:val="8"/>
          <w:sz w:val="32"/>
          <w:szCs w:val="32"/>
          <w:lang w:eastAsia="zh-CN"/>
        </w:rPr>
        <w:t>临床检验医学与医疗器械性能评估</w:t>
      </w:r>
    </w:p>
    <w:p w14:paraId="34BCA3D3">
      <w:pPr>
        <w:pStyle w:val="3"/>
        <w:spacing w:before="47" w:line="560" w:lineRule="exact"/>
        <w:ind w:right="19"/>
        <w:jc w:val="both"/>
        <w:rPr>
          <w:rFonts w:hint="eastAsia" w:ascii="黑体" w:hAnsi="黑体" w:eastAsia="黑体" w:cs="黑体"/>
          <w:b w:val="0"/>
          <w:bCs w:val="0"/>
          <w:spacing w:val="8"/>
          <w:sz w:val="32"/>
          <w:szCs w:val="32"/>
          <w:lang w:eastAsia="zh-CN"/>
        </w:rPr>
      </w:pPr>
      <w:r>
        <w:rPr>
          <w:rFonts w:hint="eastAsia" w:ascii="黑体" w:hAnsi="黑体" w:eastAsia="黑体" w:cs="黑体"/>
          <w:b w:val="0"/>
          <w:bCs w:val="0"/>
          <w:spacing w:val="8"/>
          <w:sz w:val="32"/>
          <w:szCs w:val="32"/>
          <w:lang w:eastAsia="zh-CN"/>
        </w:rPr>
        <w:t>二、主要研究内容</w:t>
      </w:r>
    </w:p>
    <w:p w14:paraId="1263DE8B">
      <w:pPr>
        <w:pStyle w:val="3"/>
        <w:spacing w:before="47" w:line="560" w:lineRule="exact"/>
        <w:ind w:left="30" w:right="19" w:firstLine="648"/>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针对国产高端全自动化学发光分析仪，优化性激素检测相关的试剂配方、校准品定值以及检测流程，建立适合国内临床应用场景的性激素检测标准化操作程序。选取不同年龄段、不同疾病状态（如内分泌紊乱疾病、生殖系统疾病等）的临床样本，包括≥200 例患者样本及≥200 例健康对照样本，运用国产设备进行性激素检测，并与临床诊断结果及进口同类设备检测结果进行对比验证，深入分析国产设备在临床应用中的优势与不足。</w:t>
      </w:r>
    </w:p>
    <w:p w14:paraId="082FAE2C">
      <w:pPr>
        <w:pStyle w:val="3"/>
        <w:spacing w:before="47" w:line="560" w:lineRule="exact"/>
        <w:ind w:right="19"/>
        <w:jc w:val="both"/>
        <w:rPr>
          <w:rFonts w:hint="eastAsia" w:ascii="黑体" w:hAnsi="黑体" w:eastAsia="黑体" w:cs="黑体"/>
          <w:b w:val="0"/>
          <w:bCs w:val="0"/>
          <w:spacing w:val="8"/>
          <w:sz w:val="32"/>
          <w:szCs w:val="32"/>
          <w:lang w:eastAsia="zh-CN"/>
        </w:rPr>
      </w:pPr>
      <w:r>
        <w:rPr>
          <w:rFonts w:hint="eastAsia" w:ascii="黑体" w:hAnsi="黑体" w:eastAsia="黑体" w:cs="黑体"/>
          <w:b w:val="0"/>
          <w:bCs w:val="0"/>
          <w:spacing w:val="8"/>
          <w:sz w:val="32"/>
          <w:szCs w:val="32"/>
          <w:lang w:eastAsia="zh-CN"/>
        </w:rPr>
        <w:t>三、项目考核指标（项目执行期内）</w:t>
      </w:r>
    </w:p>
    <w:p w14:paraId="6648B912">
      <w:pPr>
        <w:pStyle w:val="3"/>
        <w:spacing w:before="47" w:line="560" w:lineRule="exact"/>
        <w:ind w:left="30" w:right="19" w:firstLine="648"/>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（一） 学术指标：</w:t>
      </w:r>
    </w:p>
    <w:p w14:paraId="00D93234">
      <w:pPr>
        <w:pStyle w:val="3"/>
        <w:spacing w:before="47" w:line="560" w:lineRule="exact"/>
        <w:ind w:left="30" w:right="19" w:firstLine="648"/>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发表学术论文≥1篇或申请专利≥1项；</w:t>
      </w:r>
    </w:p>
    <w:p w14:paraId="20114D73">
      <w:pPr>
        <w:pStyle w:val="3"/>
        <w:spacing w:before="47" w:line="560" w:lineRule="exact"/>
        <w:ind w:left="30" w:right="19" w:firstLine="648"/>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（二） 技术指标：</w:t>
      </w:r>
    </w:p>
    <w:p w14:paraId="50D88324">
      <w:pPr>
        <w:pStyle w:val="3"/>
        <w:spacing w:before="47" w:line="560" w:lineRule="exact"/>
        <w:ind w:left="30" w:right="19" w:firstLine="648"/>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1.样本收集与分析：完成200例以上性激素相关疾病患者及200例以上健康对照组的样本收集，对国产设备性激素检测系统开展全面性能评估，涵盖精密度（批内、批间变异系数测定）、准确度（与参考方法比对）、灵敏度（最低检测限确定）、特异性（交叉反应评估）等指标。</w:t>
      </w:r>
    </w:p>
    <w:p w14:paraId="1B3A8F03">
      <w:pPr>
        <w:pStyle w:val="3"/>
        <w:spacing w:before="47" w:line="560" w:lineRule="exact"/>
        <w:ind w:left="30" w:right="19" w:firstLine="648"/>
        <w:jc w:val="both"/>
        <w:rPr>
          <w:rFonts w:hint="eastAsia" w:ascii="仿宋_GB2312" w:hAnsi="仿宋_GB2312" w:eastAsia="仿宋_GB2312" w:cs="仿宋_GB2312"/>
          <w:b w:val="0"/>
          <w:bCs w:val="0"/>
          <w:spacing w:val="8"/>
          <w:sz w:val="32"/>
          <w:szCs w:val="32"/>
          <w:lang w:eastAsia="zh-CN"/>
        </w:rPr>
      </w:pPr>
      <w:r>
        <w:rPr>
          <w:rFonts w:hint="eastAsia" w:ascii="仿宋_GB2312" w:hAnsi="仿宋_GB2312" w:eastAsia="仿宋_GB2312" w:cs="仿宋_GB2312"/>
          <w:b w:val="0"/>
          <w:bCs w:val="0"/>
          <w:spacing w:val="8"/>
          <w:sz w:val="32"/>
          <w:szCs w:val="32"/>
          <w:lang w:eastAsia="zh-CN"/>
        </w:rPr>
        <w:t>2.出具</w:t>
      </w:r>
      <w:r>
        <w:rPr>
          <w:rFonts w:hint="eastAsia" w:ascii="仿宋_GB2312" w:hAnsi="仿宋_GB2312" w:eastAsia="仿宋_GB2312" w:cs="仿宋_GB2312"/>
          <w:b w:val="0"/>
          <w:bCs w:val="0"/>
          <w:spacing w:val="8"/>
          <w:sz w:val="32"/>
          <w:szCs w:val="32"/>
          <w:lang w:val="en-US" w:eastAsia="zh-CN"/>
        </w:rPr>
        <w:t>≥1</w:t>
      </w:r>
      <w:r>
        <w:rPr>
          <w:rFonts w:hint="eastAsia" w:ascii="仿宋_GB2312" w:hAnsi="仿宋_GB2312" w:eastAsia="仿宋_GB2312" w:cs="仿宋_GB2312"/>
          <w:b w:val="0"/>
          <w:bCs w:val="0"/>
          <w:spacing w:val="8"/>
          <w:sz w:val="32"/>
          <w:szCs w:val="32"/>
          <w:lang w:eastAsia="zh-CN"/>
        </w:rPr>
        <w:t>份关于国产全自动化学发光分析系统性激素检测系统性能验证及临床样本测试的全面检测评估报告，报告中明确性能指标达标情况、临床应用效果及改进建议等。</w:t>
      </w:r>
    </w:p>
    <w:p w14:paraId="6F5E7D51">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val="0"/>
          <w:bCs w:val="0"/>
          <w:spacing w:val="8"/>
          <w:sz w:val="32"/>
          <w:szCs w:val="32"/>
          <w:lang w:eastAsia="zh-CN"/>
        </w:rPr>
        <w:t>四、项目实施年限：</w:t>
      </w:r>
      <w:r>
        <w:rPr>
          <w:rFonts w:hint="eastAsia" w:ascii="仿宋_GB2312" w:hAnsi="仿宋_GB2312" w:eastAsia="仿宋_GB2312" w:cs="仿宋_GB2312"/>
          <w:b w:val="0"/>
          <w:bCs w:val="0"/>
          <w:spacing w:val="8"/>
          <w:sz w:val="32"/>
          <w:szCs w:val="32"/>
          <w:lang w:eastAsia="zh-CN"/>
        </w:rPr>
        <w:t>不超过1年</w:t>
      </w:r>
    </w:p>
    <w:p w14:paraId="08BCFF6C">
      <w:pPr>
        <w:pStyle w:val="3"/>
        <w:spacing w:before="47" w:line="560" w:lineRule="exact"/>
        <w:ind w:right="19"/>
        <w:jc w:val="both"/>
        <w:rPr>
          <w:rFonts w:hint="eastAsia" w:ascii="仿宋_GB2312" w:hAnsi="仿宋_GB2312" w:eastAsia="仿宋_GB2312" w:cs="仿宋_GB2312"/>
          <w:b w:val="0"/>
          <w:bCs w:val="0"/>
          <w:spacing w:val="8"/>
          <w:sz w:val="32"/>
          <w:szCs w:val="32"/>
          <w:lang w:eastAsia="zh-CN"/>
        </w:rPr>
      </w:pPr>
      <w:r>
        <w:rPr>
          <w:rFonts w:hint="eastAsia" w:ascii="黑体" w:hAnsi="黑体" w:eastAsia="黑体" w:cs="黑体"/>
          <w:b w:val="0"/>
          <w:bCs w:val="0"/>
          <w:spacing w:val="8"/>
          <w:sz w:val="32"/>
          <w:szCs w:val="32"/>
          <w:lang w:eastAsia="zh-CN"/>
        </w:rPr>
        <w:t>五、资助金额：</w:t>
      </w:r>
      <w:r>
        <w:rPr>
          <w:rFonts w:hint="eastAsia" w:ascii="仿宋_GB2312" w:hAnsi="仿宋_GB2312" w:eastAsia="仿宋_GB2312" w:cs="仿宋_GB2312"/>
          <w:b w:val="0"/>
          <w:bCs w:val="0"/>
          <w:spacing w:val="8"/>
          <w:sz w:val="32"/>
          <w:szCs w:val="32"/>
          <w:lang w:eastAsia="zh-CN"/>
        </w:rPr>
        <w:t>不超过10万元</w:t>
      </w:r>
    </w:p>
    <w:p w14:paraId="796E653E">
      <w:pPr>
        <w:pStyle w:val="3"/>
        <w:spacing w:before="47" w:line="560" w:lineRule="exact"/>
        <w:ind w:left="30" w:right="19" w:firstLine="648"/>
        <w:jc w:val="both"/>
        <w:rPr>
          <w:rFonts w:hint="eastAsia" w:ascii="仿宋_GB2312" w:hAnsi="仿宋_GB2312" w:eastAsia="仿宋_GB2312" w:cs="仿宋_GB2312"/>
          <w:b w:val="0"/>
          <w:bCs w:val="0"/>
          <w:spacing w:val="8"/>
          <w:sz w:val="32"/>
          <w:szCs w:val="32"/>
          <w:lang w:eastAsia="zh-CN"/>
        </w:rPr>
      </w:pPr>
    </w:p>
    <w:p w14:paraId="42A1E546">
      <w:pPr>
        <w:pStyle w:val="3"/>
        <w:spacing w:before="47" w:line="560" w:lineRule="exact"/>
        <w:ind w:left="30" w:right="19" w:firstLine="648"/>
        <w:jc w:val="both"/>
        <w:rPr>
          <w:rFonts w:hint="eastAsia" w:ascii="仿宋_GB2312" w:hAnsi="仿宋_GB2312" w:eastAsia="仿宋_GB2312" w:cs="仿宋_GB2312"/>
          <w:b w:val="0"/>
          <w:bCs w:val="0"/>
          <w:spacing w:val="8"/>
          <w:sz w:val="32"/>
          <w:szCs w:val="32"/>
          <w:lang w:eastAsia="zh-CN"/>
        </w:rPr>
      </w:pPr>
    </w:p>
    <w:p w14:paraId="0AF530A5">
      <w:pPr>
        <w:pStyle w:val="3"/>
        <w:spacing w:before="47" w:line="560" w:lineRule="exact"/>
        <w:ind w:left="30" w:right="19" w:firstLine="648"/>
        <w:jc w:val="both"/>
        <w:rPr>
          <w:rFonts w:hint="eastAsia" w:ascii="仿宋_GB2312" w:hAnsi="仿宋_GB2312" w:eastAsia="仿宋_GB2312" w:cs="仿宋_GB2312"/>
          <w:b w:val="0"/>
          <w:bCs w:val="0"/>
          <w:spacing w:val="8"/>
          <w:sz w:val="32"/>
          <w:szCs w:val="32"/>
          <w:lang w:eastAsia="zh-CN"/>
        </w:rPr>
      </w:pPr>
    </w:p>
    <w:p w14:paraId="030330A7">
      <w:pPr>
        <w:pStyle w:val="3"/>
        <w:spacing w:before="47" w:line="560" w:lineRule="exact"/>
        <w:ind w:left="30" w:right="19" w:firstLine="648"/>
        <w:jc w:val="both"/>
        <w:rPr>
          <w:rFonts w:hint="eastAsia" w:ascii="仿宋_GB2312" w:hAnsi="仿宋_GB2312" w:eastAsia="仿宋_GB2312" w:cs="仿宋_GB2312"/>
          <w:b w:val="0"/>
          <w:bCs w:val="0"/>
          <w:spacing w:val="8"/>
          <w:sz w:val="32"/>
          <w:szCs w:val="32"/>
          <w:lang w:eastAsia="zh-CN"/>
        </w:rPr>
      </w:pPr>
    </w:p>
    <w:p w14:paraId="6D26F00C">
      <w:pPr>
        <w:pStyle w:val="3"/>
        <w:spacing w:before="47" w:line="560" w:lineRule="exact"/>
        <w:ind w:left="30" w:right="19" w:firstLine="648"/>
        <w:jc w:val="both"/>
        <w:rPr>
          <w:rFonts w:hint="eastAsia" w:ascii="仿宋_GB2312" w:hAnsi="仿宋_GB2312" w:eastAsia="仿宋_GB2312" w:cs="仿宋_GB2312"/>
          <w:b w:val="0"/>
          <w:bCs w:val="0"/>
          <w:spacing w:val="8"/>
          <w:sz w:val="32"/>
          <w:szCs w:val="32"/>
          <w:lang w:eastAsia="zh-CN"/>
        </w:rPr>
      </w:pPr>
    </w:p>
    <w:p w14:paraId="61F33E9A">
      <w:pPr>
        <w:pStyle w:val="3"/>
        <w:spacing w:before="47" w:line="560" w:lineRule="exact"/>
        <w:ind w:left="30" w:right="19" w:firstLine="648"/>
        <w:jc w:val="both"/>
        <w:rPr>
          <w:rFonts w:hint="eastAsia" w:ascii="仿宋_GB2312" w:hAnsi="仿宋_GB2312" w:eastAsia="仿宋_GB2312" w:cs="仿宋_GB2312"/>
          <w:b w:val="0"/>
          <w:bCs w:val="0"/>
          <w:spacing w:val="8"/>
          <w:sz w:val="32"/>
          <w:szCs w:val="32"/>
          <w:lang w:eastAsia="zh-CN"/>
        </w:rPr>
      </w:pPr>
    </w:p>
    <w:p w14:paraId="10198160">
      <w:pPr>
        <w:pStyle w:val="3"/>
        <w:spacing w:before="47" w:line="560" w:lineRule="exact"/>
        <w:ind w:left="30" w:right="19" w:firstLine="648"/>
        <w:jc w:val="both"/>
        <w:rPr>
          <w:rFonts w:hint="eastAsia" w:ascii="仿宋_GB2312" w:hAnsi="仿宋_GB2312" w:eastAsia="仿宋_GB2312" w:cs="仿宋_GB2312"/>
          <w:b w:val="0"/>
          <w:bCs w:val="0"/>
          <w:spacing w:val="8"/>
          <w:sz w:val="32"/>
          <w:szCs w:val="32"/>
          <w:lang w:eastAsia="zh-CN"/>
        </w:rPr>
      </w:pPr>
    </w:p>
    <w:p w14:paraId="13F05F2B">
      <w:pPr>
        <w:pStyle w:val="3"/>
        <w:spacing w:before="47" w:line="560" w:lineRule="exact"/>
        <w:ind w:left="30" w:right="19" w:firstLine="648"/>
        <w:jc w:val="both"/>
        <w:rPr>
          <w:rFonts w:hint="eastAsia" w:ascii="仿宋_GB2312" w:hAnsi="仿宋_GB2312" w:eastAsia="仿宋_GB2312" w:cs="仿宋_GB2312"/>
          <w:b w:val="0"/>
          <w:bCs w:val="0"/>
          <w:spacing w:val="8"/>
          <w:sz w:val="32"/>
          <w:szCs w:val="32"/>
          <w:lang w:eastAsia="zh-CN"/>
        </w:rPr>
      </w:pPr>
    </w:p>
    <w:p w14:paraId="2317A275">
      <w:pPr>
        <w:pStyle w:val="3"/>
        <w:spacing w:before="47" w:line="560" w:lineRule="exact"/>
        <w:ind w:left="30" w:right="19" w:firstLine="648"/>
        <w:jc w:val="both"/>
        <w:rPr>
          <w:rFonts w:hint="eastAsia" w:ascii="仿宋_GB2312" w:hAnsi="仿宋_GB2312" w:eastAsia="仿宋_GB2312" w:cs="仿宋_GB2312"/>
          <w:b w:val="0"/>
          <w:bCs w:val="0"/>
          <w:spacing w:val="8"/>
          <w:sz w:val="32"/>
          <w:szCs w:val="32"/>
          <w:lang w:eastAsia="zh-CN"/>
        </w:rPr>
      </w:pPr>
    </w:p>
    <w:p w14:paraId="64DB4111">
      <w:pPr>
        <w:pStyle w:val="3"/>
        <w:spacing w:before="47" w:line="560" w:lineRule="exact"/>
        <w:ind w:left="30" w:right="19" w:firstLine="648"/>
        <w:jc w:val="both"/>
        <w:rPr>
          <w:rFonts w:hint="eastAsia" w:ascii="仿宋_GB2312" w:hAnsi="仿宋_GB2312" w:eastAsia="仿宋_GB2312" w:cs="仿宋_GB2312"/>
          <w:b w:val="0"/>
          <w:bCs w:val="0"/>
          <w:spacing w:val="8"/>
          <w:sz w:val="32"/>
          <w:szCs w:val="32"/>
          <w:lang w:eastAsia="zh-CN"/>
        </w:rPr>
      </w:pPr>
    </w:p>
    <w:p w14:paraId="6AD08584">
      <w:pPr>
        <w:pStyle w:val="3"/>
        <w:spacing w:before="47" w:line="560" w:lineRule="exact"/>
        <w:ind w:left="30" w:right="19" w:firstLine="648"/>
        <w:jc w:val="both"/>
        <w:rPr>
          <w:rFonts w:hint="eastAsia" w:ascii="仿宋_GB2312" w:hAnsi="仿宋_GB2312" w:eastAsia="仿宋_GB2312" w:cs="仿宋_GB2312"/>
          <w:b w:val="0"/>
          <w:bCs w:val="0"/>
          <w:spacing w:val="8"/>
          <w:sz w:val="32"/>
          <w:szCs w:val="32"/>
          <w:lang w:eastAsia="zh-CN"/>
        </w:rPr>
      </w:pPr>
    </w:p>
    <w:p w14:paraId="73A1BA87">
      <w:pPr>
        <w:pStyle w:val="3"/>
        <w:spacing w:before="47" w:line="560" w:lineRule="exact"/>
        <w:ind w:left="30" w:right="19" w:firstLine="648"/>
        <w:jc w:val="both"/>
        <w:rPr>
          <w:rFonts w:hint="eastAsia" w:ascii="仿宋_GB2312" w:hAnsi="仿宋_GB2312" w:eastAsia="仿宋_GB2312" w:cs="仿宋_GB2312"/>
          <w:b w:val="0"/>
          <w:bCs w:val="0"/>
          <w:spacing w:val="8"/>
          <w:sz w:val="32"/>
          <w:szCs w:val="32"/>
          <w:lang w:eastAsia="zh-CN"/>
        </w:rPr>
      </w:pPr>
    </w:p>
    <w:p w14:paraId="40BC7BC2">
      <w:pPr>
        <w:pStyle w:val="3"/>
        <w:spacing w:before="47" w:line="560" w:lineRule="exact"/>
        <w:ind w:left="30" w:right="19" w:firstLine="648"/>
        <w:jc w:val="both"/>
        <w:rPr>
          <w:rFonts w:hint="eastAsia" w:ascii="仿宋_GB2312" w:hAnsi="仿宋_GB2312" w:eastAsia="仿宋_GB2312" w:cs="仿宋_GB2312"/>
          <w:b w:val="0"/>
          <w:bCs w:val="0"/>
          <w:spacing w:val="8"/>
          <w:sz w:val="32"/>
          <w:szCs w:val="32"/>
          <w:lang w:eastAsia="zh-CN"/>
        </w:rPr>
      </w:pPr>
    </w:p>
    <w:p w14:paraId="38AEEA41">
      <w:pPr>
        <w:pStyle w:val="3"/>
        <w:spacing w:before="47" w:line="560" w:lineRule="exact"/>
        <w:ind w:left="30" w:right="19" w:firstLine="648"/>
        <w:jc w:val="both"/>
        <w:rPr>
          <w:rFonts w:hint="eastAsia" w:ascii="仿宋_GB2312" w:hAnsi="仿宋_GB2312" w:eastAsia="仿宋_GB2312" w:cs="仿宋_GB2312"/>
          <w:b w:val="0"/>
          <w:bCs w:val="0"/>
          <w:spacing w:val="8"/>
          <w:sz w:val="32"/>
          <w:szCs w:val="32"/>
          <w:lang w:eastAsia="zh-CN"/>
        </w:rPr>
      </w:pPr>
    </w:p>
    <w:p w14:paraId="6887FAB4">
      <w:pPr>
        <w:pStyle w:val="3"/>
        <w:spacing w:before="47" w:line="560" w:lineRule="exact"/>
        <w:ind w:left="30" w:right="19" w:firstLine="648"/>
        <w:jc w:val="both"/>
        <w:rPr>
          <w:rFonts w:hint="eastAsia" w:ascii="仿宋_GB2312" w:hAnsi="仿宋_GB2312" w:eastAsia="仿宋_GB2312" w:cs="仿宋_GB2312"/>
          <w:b w:val="0"/>
          <w:bCs w:val="0"/>
          <w:spacing w:val="8"/>
          <w:sz w:val="32"/>
          <w:szCs w:val="32"/>
          <w:lang w:eastAsia="zh-CN"/>
        </w:rPr>
      </w:pPr>
    </w:p>
    <w:p w14:paraId="6DB3525A">
      <w:pPr>
        <w:rPr>
          <w:rFonts w:hint="eastAsia" w:ascii="仿宋_GB2312" w:hAnsi="仿宋_GB2312" w:eastAsia="仿宋_GB2312" w:cs="仿宋_GB2312"/>
          <w:b w:val="0"/>
          <w:bCs w:val="0"/>
          <w:sz w:val="32"/>
          <w:szCs w:val="32"/>
          <w:lang w:eastAsia="zh-CN"/>
        </w:rPr>
      </w:pPr>
    </w:p>
    <w:sectPr>
      <w:pgSz w:w="11907" w:h="16839"/>
      <w:pgMar w:top="2211" w:right="1474" w:bottom="1871" w:left="1587"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33741E"/>
    <w:rsid w:val="31740730"/>
    <w:rsid w:val="3733741E"/>
    <w:rsid w:val="3C655DD3"/>
    <w:rsid w:val="56C22F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w:basedOn w:val="1"/>
    <w:semiHidden/>
    <w:qFormat/>
    <w:uiPriority w:val="0"/>
    <w:rPr>
      <w:rFonts w:ascii="仿宋" w:hAnsi="仿宋" w:eastAsia="仿宋" w:cs="仿宋"/>
      <w:sz w:val="31"/>
      <w:szCs w:val="31"/>
    </w:rPr>
  </w:style>
  <w:style w:type="paragraph" w:styleId="6">
    <w:name w:val="List Paragraph"/>
    <w:basedOn w:val="1"/>
    <w:qFormat/>
    <w:uiPriority w:val="34"/>
    <w:pPr>
      <w:widowControl w:val="0"/>
      <w:ind w:firstLine="420"/>
      <w:jc w:val="both"/>
    </w:pPr>
    <w:rPr>
      <w:rFonts w:asciiTheme="minorHAnsi" w:hAnsiTheme="minorHAnsi" w:cstheme="minorBidi"/>
      <w:kern w:val="2"/>
      <w:sz w:val="21"/>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3413</Words>
  <Characters>3548</Characters>
  <Lines>0</Lines>
  <Paragraphs>0</Paragraphs>
  <TotalTime>4</TotalTime>
  <ScaleCrop>false</ScaleCrop>
  <LinksUpToDate>false</LinksUpToDate>
  <CharactersWithSpaces>3566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2025-03-30T16:15:00Z</dcterms:created>
  <dc:creator>Elfinsword、</dc:creator>
  <cp:lastModifiedBy>Elfinsword、</cp:lastModifiedBy>
  <dcterms:modified xsi:type="dcterms:W3CDTF">2025-04-02T11:01:51Z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B5DCFCB219A04F5D9024800968BBF20C_11</vt:lpwstr>
  </property>
  <property fmtid="{D5CDD505-2E9C-101B-9397-08002B2CF9AE}" pid="4" name="KSOTemplateDocerSaveRecord">
    <vt:lpwstr>eyJoZGlkIjoiNjU3NzY3ZDVhNmYxZDhkNDQ2NTlmZDhiM2QxMGFlODAiLCJ1c2VySWQiOiIzNTE1MjMxMzUifQ==</vt:lpwstr>
  </property>
</Properties>
</file>