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802F18">
      <w:pPr>
        <w:spacing w:before="91" w:line="159" w:lineRule="auto"/>
        <w:ind w:right="248"/>
        <w:jc w:val="center"/>
        <w:outlineLvl w:val="0"/>
        <w:rPr>
          <w:rFonts w:ascii="微软雅黑" w:hAnsi="微软雅黑" w:eastAsia="微软雅黑" w:cs="微软雅黑"/>
          <w:spacing w:val="-6"/>
          <w:sz w:val="44"/>
          <w:szCs w:val="44"/>
          <w:lang w:eastAsia="zh-CN"/>
        </w:rPr>
      </w:pPr>
      <w:r>
        <w:rPr>
          <w:rFonts w:hint="eastAsia" w:ascii="微软雅黑" w:hAnsi="微软雅黑" w:eastAsia="微软雅黑" w:cs="微软雅黑"/>
          <w:spacing w:val="19"/>
          <w:sz w:val="44"/>
          <w:szCs w:val="44"/>
          <w:lang w:eastAsia="zh-CN"/>
        </w:rPr>
        <w:t>临床检验</w:t>
      </w:r>
      <w:r>
        <w:rPr>
          <w:rFonts w:ascii="微软雅黑" w:hAnsi="微软雅黑" w:eastAsia="微软雅黑" w:cs="微软雅黑"/>
          <w:spacing w:val="19"/>
          <w:sz w:val="44"/>
          <w:szCs w:val="44"/>
          <w:lang w:eastAsia="zh-CN"/>
        </w:rPr>
        <w:t>新技术创新基金</w:t>
      </w:r>
      <w:r>
        <w:rPr>
          <w:rFonts w:hint="eastAsia" w:ascii="微软雅黑" w:hAnsi="微软雅黑" w:eastAsia="微软雅黑" w:cs="微软雅黑"/>
          <w:spacing w:val="19"/>
          <w:sz w:val="44"/>
          <w:szCs w:val="44"/>
          <w:lang w:eastAsia="zh-CN"/>
        </w:rPr>
        <w:t>（</w:t>
      </w:r>
      <w:r>
        <w:rPr>
          <w:rFonts w:ascii="微软雅黑" w:hAnsi="微软雅黑" w:eastAsia="微软雅黑" w:cs="微软雅黑"/>
          <w:spacing w:val="19"/>
          <w:sz w:val="44"/>
          <w:szCs w:val="44"/>
          <w:lang w:eastAsia="zh-CN"/>
        </w:rPr>
        <w:t>第</w:t>
      </w:r>
      <w:r>
        <w:rPr>
          <w:rFonts w:hint="eastAsia" w:ascii="微软雅黑" w:hAnsi="微软雅黑" w:eastAsia="微软雅黑" w:cs="微软雅黑"/>
          <w:spacing w:val="19"/>
          <w:sz w:val="44"/>
          <w:szCs w:val="44"/>
          <w:lang w:val="en-US" w:eastAsia="zh-CN"/>
        </w:rPr>
        <w:t>二</w:t>
      </w:r>
      <w:r>
        <w:rPr>
          <w:rFonts w:ascii="微软雅黑" w:hAnsi="微软雅黑" w:eastAsia="微软雅黑" w:cs="微软雅黑"/>
          <w:spacing w:val="19"/>
          <w:sz w:val="44"/>
          <w:szCs w:val="44"/>
          <w:lang w:eastAsia="zh-CN"/>
        </w:rPr>
        <w:t>批</w:t>
      </w:r>
      <w:r>
        <w:rPr>
          <w:rFonts w:hint="eastAsia" w:ascii="微软雅黑" w:hAnsi="微软雅黑" w:eastAsia="微软雅黑" w:cs="微软雅黑"/>
          <w:spacing w:val="19"/>
          <w:sz w:val="44"/>
          <w:szCs w:val="44"/>
          <w:lang w:eastAsia="zh-CN"/>
        </w:rPr>
        <w:t>）</w:t>
      </w:r>
      <w:r>
        <w:rPr>
          <w:rFonts w:ascii="微软雅黑" w:hAnsi="微软雅黑" w:eastAsia="微软雅黑" w:cs="微软雅黑"/>
          <w:spacing w:val="19"/>
          <w:sz w:val="44"/>
          <w:szCs w:val="44"/>
          <w:lang w:eastAsia="zh-CN"/>
        </w:rPr>
        <w:t>项目</w:t>
      </w:r>
      <w:r>
        <w:rPr>
          <w:rFonts w:hint="eastAsia" w:ascii="微软雅黑" w:hAnsi="微软雅黑" w:eastAsia="微软雅黑" w:cs="微软雅黑"/>
          <w:spacing w:val="-6"/>
          <w:sz w:val="44"/>
          <w:szCs w:val="44"/>
          <w:lang w:eastAsia="zh-CN"/>
        </w:rPr>
        <w:t>课题</w:t>
      </w:r>
      <w:r>
        <w:rPr>
          <w:rFonts w:ascii="微软雅黑" w:hAnsi="微软雅黑" w:eastAsia="微软雅黑" w:cs="微软雅黑"/>
          <w:spacing w:val="-6"/>
          <w:sz w:val="44"/>
          <w:szCs w:val="44"/>
          <w:lang w:eastAsia="zh-CN"/>
        </w:rPr>
        <w:t>指南</w:t>
      </w:r>
    </w:p>
    <w:p w14:paraId="1A9980FE">
      <w:pPr>
        <w:spacing w:before="91" w:line="159" w:lineRule="auto"/>
        <w:ind w:right="248"/>
        <w:jc w:val="center"/>
        <w:outlineLvl w:val="0"/>
        <w:rPr>
          <w:rFonts w:ascii="微软雅黑" w:hAnsi="微软雅黑" w:eastAsia="微软雅黑" w:cs="微软雅黑"/>
          <w:spacing w:val="-6"/>
          <w:sz w:val="44"/>
          <w:szCs w:val="44"/>
          <w:lang w:eastAsia="zh-CN"/>
        </w:rPr>
      </w:pPr>
    </w:p>
    <w:p w14:paraId="2D3B47D3">
      <w:pPr>
        <w:pStyle w:val="2"/>
        <w:spacing w:before="120" w:line="319" w:lineRule="auto"/>
        <w:ind w:right="17"/>
        <w:jc w:val="center"/>
        <w:rPr>
          <w:rFonts w:hint="eastAsia"/>
          <w:b/>
          <w:bCs/>
          <w:spacing w:val="8"/>
          <w:sz w:val="36"/>
          <w:szCs w:val="36"/>
          <w:lang w:eastAsia="zh-CN"/>
        </w:rPr>
      </w:pPr>
      <w:r>
        <w:rPr>
          <w:rFonts w:hint="eastAsia"/>
          <w:b/>
          <w:bCs/>
          <w:spacing w:val="8"/>
          <w:sz w:val="36"/>
          <w:szCs w:val="36"/>
          <w:lang w:eastAsia="zh-CN"/>
        </w:rPr>
        <w:t>创2</w:t>
      </w:r>
      <w:r>
        <w:rPr>
          <w:b/>
          <w:bCs/>
          <w:spacing w:val="8"/>
          <w:sz w:val="36"/>
          <w:szCs w:val="36"/>
          <w:lang w:eastAsia="zh-CN"/>
        </w:rPr>
        <w:t xml:space="preserve">02412001 </w:t>
      </w:r>
      <w:r>
        <w:rPr>
          <w:rFonts w:hint="eastAsia"/>
          <w:b/>
          <w:bCs/>
          <w:spacing w:val="8"/>
          <w:sz w:val="36"/>
          <w:szCs w:val="36"/>
          <w:lang w:eastAsia="zh-CN"/>
        </w:rPr>
        <w:t>老年慢性病肌少症血清学标志物的临床诊断</w:t>
      </w:r>
    </w:p>
    <w:p w14:paraId="0D715D9A">
      <w:pPr>
        <w:pStyle w:val="2"/>
        <w:spacing w:before="120" w:line="319" w:lineRule="auto"/>
        <w:ind w:right="17"/>
        <w:jc w:val="center"/>
        <w:rPr>
          <w:rFonts w:hint="eastAsia"/>
          <w:spacing w:val="8"/>
          <w:lang w:eastAsia="zh-CN"/>
        </w:rPr>
      </w:pPr>
    </w:p>
    <w:p w14:paraId="688DE1CB">
      <w:pPr>
        <w:pStyle w:val="2"/>
        <w:spacing w:before="47" w:line="318" w:lineRule="auto"/>
        <w:ind w:right="19"/>
        <w:jc w:val="both"/>
        <w:rPr>
          <w:spacing w:val="8"/>
          <w:lang w:eastAsia="zh-CN"/>
        </w:rPr>
      </w:pPr>
      <w:r>
        <w:rPr>
          <w:rFonts w:hint="eastAsia"/>
          <w:spacing w:val="8"/>
          <w:lang w:eastAsia="zh-CN"/>
        </w:rPr>
        <w:t>一、领域：肌少症、血清标志物</w:t>
      </w:r>
    </w:p>
    <w:p w14:paraId="304EF2B7">
      <w:pPr>
        <w:pStyle w:val="2"/>
        <w:spacing w:before="47" w:line="318" w:lineRule="auto"/>
        <w:ind w:right="19"/>
        <w:jc w:val="both"/>
        <w:rPr>
          <w:spacing w:val="8"/>
          <w:lang w:eastAsia="zh-CN"/>
        </w:rPr>
      </w:pPr>
      <w:r>
        <w:rPr>
          <w:rFonts w:hint="eastAsia"/>
          <w:spacing w:val="8"/>
          <w:lang w:eastAsia="zh-CN"/>
        </w:rPr>
        <w:t>二、主要研究内容</w:t>
      </w:r>
    </w:p>
    <w:p w14:paraId="3CCF2971">
      <w:pPr>
        <w:pStyle w:val="2"/>
        <w:spacing w:before="47" w:line="318" w:lineRule="auto"/>
        <w:ind w:right="19" w:firstLine="652" w:firstLineChars="200"/>
        <w:jc w:val="both"/>
        <w:rPr>
          <w:rFonts w:hint="eastAsia"/>
          <w:spacing w:val="8"/>
          <w:lang w:eastAsia="zh-CN"/>
        </w:rPr>
      </w:pPr>
      <w:r>
        <w:rPr>
          <w:rFonts w:hint="eastAsia"/>
          <w:spacing w:val="8"/>
          <w:lang w:eastAsia="zh-CN"/>
        </w:rPr>
        <w:t>1.筛选学情学指标，验证所选血清学指标与肌少症的相关性。</w:t>
      </w:r>
    </w:p>
    <w:p w14:paraId="0B36D526">
      <w:pPr>
        <w:pStyle w:val="2"/>
        <w:spacing w:before="47" w:line="318" w:lineRule="auto"/>
        <w:ind w:right="19" w:firstLine="652" w:firstLineChars="200"/>
        <w:jc w:val="both"/>
        <w:rPr>
          <w:rFonts w:hint="eastAsia"/>
          <w:spacing w:val="8"/>
          <w:lang w:eastAsia="zh-CN"/>
        </w:rPr>
      </w:pPr>
      <w:r>
        <w:rPr>
          <w:rFonts w:hint="eastAsia"/>
          <w:spacing w:val="8"/>
          <w:lang w:eastAsia="zh-CN"/>
        </w:rPr>
        <w:t>2.建立多指标肌少症早期诊断模型，评估其在实际应用中的可行性和准确性。</w:t>
      </w:r>
    </w:p>
    <w:p w14:paraId="0EDB5B7F">
      <w:pPr>
        <w:pStyle w:val="2"/>
        <w:spacing w:before="47" w:line="318" w:lineRule="auto"/>
        <w:ind w:right="19" w:firstLine="652" w:firstLineChars="200"/>
        <w:jc w:val="both"/>
        <w:rPr>
          <w:spacing w:val="8"/>
          <w:lang w:eastAsia="zh-CN"/>
        </w:rPr>
      </w:pPr>
      <w:r>
        <w:rPr>
          <w:rFonts w:hint="eastAsia"/>
          <w:spacing w:val="8"/>
          <w:lang w:eastAsia="zh-CN"/>
        </w:rPr>
        <w:t>3.探讨多指标联合诊断模型在肌少症研究中的新应用和潜在价值</w:t>
      </w:r>
    </w:p>
    <w:p w14:paraId="65614A66">
      <w:pPr>
        <w:pStyle w:val="2"/>
        <w:spacing w:before="47" w:line="318" w:lineRule="auto"/>
        <w:ind w:right="19"/>
        <w:jc w:val="both"/>
        <w:rPr>
          <w:spacing w:val="8"/>
          <w:lang w:eastAsia="zh-CN"/>
        </w:rPr>
      </w:pPr>
      <w:r>
        <w:rPr>
          <w:rFonts w:hint="eastAsia"/>
          <w:spacing w:val="8"/>
          <w:lang w:eastAsia="zh-CN"/>
        </w:rPr>
        <w:t>三、项目考核指标（项目执行期内）</w:t>
      </w:r>
    </w:p>
    <w:p w14:paraId="6EC54443">
      <w:pPr>
        <w:pStyle w:val="2"/>
        <w:spacing w:before="47" w:line="318" w:lineRule="auto"/>
        <w:ind w:right="19" w:firstLine="652" w:firstLineChars="200"/>
        <w:jc w:val="both"/>
        <w:rPr>
          <w:rFonts w:hint="eastAsia"/>
          <w:spacing w:val="8"/>
          <w:lang w:eastAsia="zh-CN"/>
        </w:rPr>
      </w:pPr>
      <w:r>
        <w:rPr>
          <w:rFonts w:hint="eastAsia"/>
          <w:spacing w:val="8"/>
          <w:lang w:eastAsia="zh-CN"/>
        </w:rPr>
        <w:t>1.血清学指标的筛选及验证</w:t>
      </w:r>
    </w:p>
    <w:p w14:paraId="60573892">
      <w:pPr>
        <w:pStyle w:val="2"/>
        <w:spacing w:before="47" w:line="318" w:lineRule="auto"/>
        <w:ind w:right="19" w:firstLine="652" w:firstLineChars="200"/>
        <w:jc w:val="both"/>
        <w:rPr>
          <w:rFonts w:hint="eastAsia"/>
          <w:spacing w:val="8"/>
          <w:lang w:eastAsia="zh-CN"/>
        </w:rPr>
      </w:pPr>
      <w:r>
        <w:rPr>
          <w:rFonts w:hint="eastAsia"/>
          <w:spacing w:val="8"/>
          <w:lang w:eastAsia="zh-CN"/>
        </w:rPr>
        <w:t>2.诊断模型的构建</w:t>
      </w:r>
    </w:p>
    <w:p w14:paraId="36E10FB9">
      <w:pPr>
        <w:pStyle w:val="2"/>
        <w:spacing w:before="47" w:line="318" w:lineRule="auto"/>
        <w:ind w:right="19" w:firstLine="652" w:firstLineChars="200"/>
        <w:jc w:val="both"/>
        <w:rPr>
          <w:spacing w:val="8"/>
          <w:lang w:eastAsia="zh-CN"/>
        </w:rPr>
      </w:pPr>
      <w:r>
        <w:rPr>
          <w:rFonts w:hint="eastAsia"/>
          <w:spacing w:val="8"/>
          <w:lang w:eastAsia="zh-CN"/>
        </w:rPr>
        <w:t>3.临床诊断效能的评价</w:t>
      </w:r>
    </w:p>
    <w:p w14:paraId="7B6B4EE1">
      <w:pPr>
        <w:pStyle w:val="2"/>
        <w:spacing w:before="47" w:line="318" w:lineRule="auto"/>
        <w:ind w:right="19"/>
        <w:jc w:val="both"/>
        <w:rPr>
          <w:spacing w:val="8"/>
          <w:lang w:eastAsia="zh-CN"/>
        </w:rPr>
      </w:pPr>
      <w:r>
        <w:rPr>
          <w:rFonts w:hint="eastAsia"/>
          <w:spacing w:val="8"/>
          <w:lang w:eastAsia="zh-CN"/>
        </w:rPr>
        <w:t>四、项目实施年限：不超过2年</w:t>
      </w:r>
    </w:p>
    <w:p w14:paraId="0DB896A6">
      <w:pPr>
        <w:pStyle w:val="2"/>
        <w:spacing w:before="47" w:line="318" w:lineRule="auto"/>
        <w:ind w:right="19"/>
        <w:jc w:val="both"/>
        <w:rPr>
          <w:spacing w:val="8"/>
          <w:lang w:eastAsia="zh-CN"/>
        </w:rPr>
      </w:pPr>
      <w:r>
        <w:rPr>
          <w:rFonts w:hint="eastAsia"/>
          <w:spacing w:val="8"/>
          <w:lang w:eastAsia="zh-CN"/>
        </w:rPr>
        <w:t>五、资助金额：不超过</w:t>
      </w:r>
      <w:r>
        <w:rPr>
          <w:spacing w:val="8"/>
          <w:lang w:eastAsia="zh-CN"/>
        </w:rPr>
        <w:t>15</w:t>
      </w:r>
      <w:r>
        <w:rPr>
          <w:rFonts w:hint="eastAsia"/>
          <w:spacing w:val="8"/>
          <w:lang w:eastAsia="zh-CN"/>
        </w:rPr>
        <w:t>万元</w:t>
      </w:r>
    </w:p>
    <w:p w14:paraId="5EE5525D">
      <w:pPr>
        <w:spacing w:before="91" w:line="159" w:lineRule="auto"/>
        <w:ind w:right="248"/>
        <w:jc w:val="center"/>
        <w:outlineLvl w:val="0"/>
        <w:rPr>
          <w:rFonts w:ascii="微软雅黑" w:hAnsi="微软雅黑" w:eastAsia="微软雅黑" w:cs="微软雅黑"/>
          <w:spacing w:val="19"/>
          <w:sz w:val="44"/>
          <w:szCs w:val="44"/>
          <w:lang w:eastAsia="zh-CN"/>
        </w:rPr>
      </w:pPr>
    </w:p>
    <w:p w14:paraId="77C5810F">
      <w:pPr>
        <w:spacing w:before="91" w:line="159" w:lineRule="auto"/>
        <w:ind w:right="248"/>
        <w:jc w:val="center"/>
        <w:outlineLvl w:val="0"/>
        <w:rPr>
          <w:rFonts w:ascii="微软雅黑" w:hAnsi="微软雅黑" w:eastAsia="微软雅黑" w:cs="微软雅黑"/>
          <w:spacing w:val="19"/>
          <w:sz w:val="44"/>
          <w:szCs w:val="44"/>
          <w:lang w:eastAsia="zh-CN"/>
        </w:rPr>
      </w:pPr>
    </w:p>
    <w:p w14:paraId="4213B4F0">
      <w:pPr>
        <w:spacing w:before="91" w:line="159" w:lineRule="auto"/>
        <w:ind w:right="248"/>
        <w:jc w:val="both"/>
        <w:outlineLvl w:val="0"/>
        <w:rPr>
          <w:rFonts w:hint="eastAsia" w:ascii="微软雅黑" w:hAnsi="微软雅黑" w:eastAsia="微软雅黑" w:cs="微软雅黑"/>
          <w:spacing w:val="19"/>
          <w:sz w:val="44"/>
          <w:szCs w:val="44"/>
          <w:lang w:eastAsia="zh-CN"/>
        </w:rPr>
      </w:pPr>
    </w:p>
    <w:p w14:paraId="7FB95C95">
      <w:pPr>
        <w:pStyle w:val="2"/>
        <w:spacing w:before="47" w:line="318" w:lineRule="auto"/>
        <w:ind w:right="19"/>
        <w:jc w:val="center"/>
        <w:rPr>
          <w:rFonts w:hint="eastAsia"/>
          <w:b/>
          <w:bCs/>
          <w:spacing w:val="8"/>
          <w:sz w:val="36"/>
          <w:szCs w:val="36"/>
          <w:lang w:eastAsia="zh-CN"/>
        </w:rPr>
      </w:pPr>
      <w:r>
        <w:rPr>
          <w:rFonts w:hint="eastAsia"/>
          <w:b/>
          <w:bCs/>
          <w:spacing w:val="8"/>
          <w:sz w:val="36"/>
          <w:szCs w:val="36"/>
          <w:lang w:eastAsia="zh-CN"/>
        </w:rPr>
        <w:t>创2</w:t>
      </w:r>
      <w:r>
        <w:rPr>
          <w:b/>
          <w:bCs/>
          <w:spacing w:val="8"/>
          <w:sz w:val="36"/>
          <w:szCs w:val="36"/>
          <w:lang w:eastAsia="zh-CN"/>
        </w:rPr>
        <w:t xml:space="preserve">02412002 </w:t>
      </w:r>
      <w:r>
        <w:rPr>
          <w:rFonts w:hint="eastAsia"/>
          <w:b/>
          <w:bCs/>
          <w:spacing w:val="8"/>
          <w:sz w:val="36"/>
          <w:szCs w:val="36"/>
          <w:lang w:eastAsia="zh-CN"/>
        </w:rPr>
        <w:t xml:space="preserve"> 2型糖尿病伴血尿患者膀胱癌血液学诊断模型的建立与评</w:t>
      </w:r>
    </w:p>
    <w:p w14:paraId="7234B781">
      <w:pPr>
        <w:pStyle w:val="2"/>
        <w:spacing w:before="47" w:line="318" w:lineRule="auto"/>
        <w:ind w:right="19"/>
        <w:jc w:val="center"/>
        <w:rPr>
          <w:rFonts w:hint="eastAsia"/>
          <w:b/>
          <w:bCs/>
          <w:spacing w:val="8"/>
          <w:sz w:val="36"/>
          <w:szCs w:val="36"/>
          <w:lang w:eastAsia="zh-CN"/>
        </w:rPr>
      </w:pPr>
    </w:p>
    <w:p w14:paraId="10934C9D">
      <w:pPr>
        <w:pStyle w:val="2"/>
        <w:spacing w:before="47" w:line="318" w:lineRule="auto"/>
        <w:ind w:right="19"/>
        <w:jc w:val="both"/>
        <w:rPr>
          <w:rFonts w:hint="eastAsia"/>
          <w:spacing w:val="8"/>
          <w:lang w:eastAsia="zh-CN"/>
        </w:rPr>
      </w:pPr>
      <w:r>
        <w:rPr>
          <w:rFonts w:hint="eastAsia"/>
          <w:spacing w:val="8"/>
          <w:lang w:eastAsia="zh-CN"/>
        </w:rPr>
        <w:t>一、领域：肿瘤学、化学免疫学、人工智能</w:t>
      </w:r>
    </w:p>
    <w:p w14:paraId="57925FB1">
      <w:pPr>
        <w:pStyle w:val="2"/>
        <w:spacing w:before="47" w:line="318" w:lineRule="auto"/>
        <w:ind w:right="19"/>
        <w:jc w:val="both"/>
        <w:rPr>
          <w:rFonts w:hint="eastAsia"/>
          <w:spacing w:val="8"/>
          <w:lang w:eastAsia="zh-CN"/>
        </w:rPr>
      </w:pPr>
      <w:r>
        <w:rPr>
          <w:rFonts w:hint="eastAsia"/>
          <w:spacing w:val="8"/>
          <w:lang w:eastAsia="zh-CN"/>
        </w:rPr>
        <w:t>二、主要研究内容：</w:t>
      </w:r>
    </w:p>
    <w:p w14:paraId="79B72EE7">
      <w:pPr>
        <w:pStyle w:val="2"/>
        <w:spacing w:before="47" w:line="318" w:lineRule="auto"/>
        <w:ind w:right="19" w:firstLine="652" w:firstLineChars="200"/>
        <w:jc w:val="both"/>
        <w:rPr>
          <w:rFonts w:hint="eastAsia"/>
          <w:spacing w:val="8"/>
          <w:lang w:eastAsia="zh-CN"/>
        </w:rPr>
      </w:pPr>
      <w:r>
        <w:rPr>
          <w:rFonts w:hint="eastAsia"/>
          <w:spacing w:val="8"/>
          <w:lang w:eastAsia="zh-CN"/>
        </w:rPr>
        <w:t>1</w:t>
      </w:r>
      <w:r>
        <w:rPr>
          <w:spacing w:val="8"/>
          <w:lang w:eastAsia="zh-CN"/>
        </w:rPr>
        <w:t>.</w:t>
      </w:r>
      <w:r>
        <w:rPr>
          <w:rFonts w:hint="eastAsia"/>
          <w:spacing w:val="8"/>
          <w:lang w:eastAsia="zh-CN"/>
        </w:rPr>
        <w:t>研究覆盖范围：本研究将覆盖成年2型糖尿病患者，特别是那些伴有血尿症状的患者群体。研究将包括膀胱癌患者和非膀胱癌（但有血尿症状）的2型糖尿病患者。</w:t>
      </w:r>
    </w:p>
    <w:p w14:paraId="3CFDCF7C">
      <w:pPr>
        <w:pStyle w:val="2"/>
        <w:spacing w:before="47" w:line="318" w:lineRule="auto"/>
        <w:ind w:right="19" w:firstLine="652" w:firstLineChars="200"/>
        <w:jc w:val="both"/>
        <w:rPr>
          <w:rFonts w:hint="eastAsia"/>
          <w:spacing w:val="8"/>
          <w:lang w:eastAsia="zh-CN"/>
        </w:rPr>
      </w:pPr>
      <w:r>
        <w:rPr>
          <w:rFonts w:hint="eastAsia"/>
          <w:spacing w:val="8"/>
          <w:lang w:eastAsia="zh-CN"/>
        </w:rPr>
        <w:t>2</w:t>
      </w:r>
      <w:r>
        <w:rPr>
          <w:spacing w:val="8"/>
          <w:lang w:eastAsia="zh-CN"/>
        </w:rPr>
        <w:t>.</w:t>
      </w:r>
      <w:r>
        <w:rPr>
          <w:rFonts w:hint="eastAsia"/>
          <w:spacing w:val="8"/>
          <w:lang w:eastAsia="zh-CN"/>
        </w:rPr>
        <w:t>膀胱癌早期诊断临床研究：本课题将探索血液中的生物标志物在2型糖尿病伴血尿患者中膀胱癌早期诊断的临床应用价值。</w:t>
      </w:r>
    </w:p>
    <w:p w14:paraId="35E4C00F">
      <w:pPr>
        <w:pStyle w:val="2"/>
        <w:spacing w:before="47" w:line="318" w:lineRule="auto"/>
        <w:ind w:right="19"/>
        <w:jc w:val="both"/>
        <w:rPr>
          <w:rFonts w:hint="eastAsia"/>
          <w:spacing w:val="8"/>
          <w:lang w:eastAsia="zh-CN"/>
        </w:rPr>
      </w:pPr>
      <w:r>
        <w:rPr>
          <w:rFonts w:hint="eastAsia"/>
          <w:spacing w:val="8"/>
          <w:lang w:eastAsia="zh-CN"/>
        </w:rPr>
        <w:t>三、项目考核指标（项目执行期内）：</w:t>
      </w:r>
    </w:p>
    <w:p w14:paraId="511701CC">
      <w:pPr>
        <w:pStyle w:val="2"/>
        <w:spacing w:before="47" w:line="318" w:lineRule="auto"/>
        <w:ind w:right="19" w:firstLine="652" w:firstLineChars="200"/>
        <w:jc w:val="both"/>
        <w:rPr>
          <w:rFonts w:hint="eastAsia"/>
          <w:spacing w:val="8"/>
          <w:lang w:eastAsia="zh-CN"/>
        </w:rPr>
      </w:pPr>
      <w:r>
        <w:rPr>
          <w:rFonts w:hint="eastAsia"/>
          <w:spacing w:val="8"/>
          <w:lang w:eastAsia="zh-CN"/>
        </w:rPr>
        <w:t>1.样本收集与分析：完成100-200例2型糖尿病伴血尿患者（包括膀胱癌患者和非膀胱癌患者）的血液样本收集。综合分析多个生物标志物，包括但不限于肿瘤相关抗原、代谢物、炎症和表观遗传标志物等。</w:t>
      </w:r>
    </w:p>
    <w:p w14:paraId="4F213B7D">
      <w:pPr>
        <w:pStyle w:val="2"/>
        <w:spacing w:before="47" w:line="318" w:lineRule="auto"/>
        <w:ind w:right="19" w:firstLine="652" w:firstLineChars="200"/>
        <w:jc w:val="both"/>
        <w:rPr>
          <w:rFonts w:hint="eastAsia"/>
          <w:spacing w:val="8"/>
          <w:lang w:eastAsia="zh-CN"/>
        </w:rPr>
      </w:pPr>
      <w:r>
        <w:rPr>
          <w:rFonts w:hint="eastAsia"/>
          <w:spacing w:val="8"/>
          <w:lang w:eastAsia="zh-CN"/>
        </w:rPr>
        <w:t>2.评估报告：生成评估报告，包括膀胱癌血液学诊断模型的准确性、灵敏度、特异度评估。</w:t>
      </w:r>
    </w:p>
    <w:p w14:paraId="369AFB67">
      <w:pPr>
        <w:pStyle w:val="2"/>
        <w:spacing w:before="47" w:line="318" w:lineRule="auto"/>
        <w:ind w:right="19"/>
        <w:jc w:val="both"/>
        <w:rPr>
          <w:rFonts w:hint="eastAsia"/>
          <w:spacing w:val="8"/>
          <w:lang w:eastAsia="zh-CN"/>
        </w:rPr>
      </w:pPr>
      <w:r>
        <w:rPr>
          <w:rFonts w:hint="eastAsia"/>
          <w:spacing w:val="8"/>
          <w:lang w:eastAsia="zh-CN"/>
        </w:rPr>
        <w:t>四、项目实施年限：不超过2年</w:t>
      </w:r>
    </w:p>
    <w:p w14:paraId="225DF072">
      <w:pPr>
        <w:pStyle w:val="2"/>
        <w:spacing w:before="47" w:line="318" w:lineRule="auto"/>
        <w:ind w:right="19"/>
        <w:jc w:val="both"/>
        <w:rPr>
          <w:spacing w:val="8"/>
          <w:lang w:eastAsia="zh-CN"/>
        </w:rPr>
      </w:pPr>
      <w:r>
        <w:rPr>
          <w:rFonts w:hint="eastAsia"/>
          <w:spacing w:val="8"/>
          <w:lang w:eastAsia="zh-CN"/>
        </w:rPr>
        <w:t>五、资助金额：不超过10万元。</w:t>
      </w:r>
    </w:p>
    <w:p w14:paraId="46208761">
      <w:pPr>
        <w:spacing w:before="91" w:line="159" w:lineRule="auto"/>
        <w:ind w:right="248"/>
        <w:jc w:val="center"/>
        <w:outlineLvl w:val="0"/>
        <w:rPr>
          <w:rFonts w:ascii="微软雅黑" w:hAnsi="微软雅黑" w:eastAsia="微软雅黑" w:cs="微软雅黑"/>
          <w:spacing w:val="19"/>
          <w:sz w:val="44"/>
          <w:szCs w:val="44"/>
          <w:lang w:eastAsia="zh-CN"/>
        </w:rPr>
      </w:pPr>
    </w:p>
    <w:p w14:paraId="25F6D770">
      <w:pPr>
        <w:spacing w:before="91" w:line="159" w:lineRule="auto"/>
        <w:ind w:right="248"/>
        <w:jc w:val="center"/>
        <w:outlineLvl w:val="0"/>
        <w:rPr>
          <w:rFonts w:ascii="微软雅黑" w:hAnsi="微软雅黑" w:eastAsia="微软雅黑" w:cs="微软雅黑"/>
          <w:spacing w:val="19"/>
          <w:sz w:val="44"/>
          <w:szCs w:val="44"/>
          <w:lang w:eastAsia="zh-CN"/>
        </w:rPr>
      </w:pPr>
    </w:p>
    <w:p w14:paraId="106E74E9">
      <w:pPr>
        <w:spacing w:before="91" w:line="159" w:lineRule="auto"/>
        <w:ind w:right="248"/>
        <w:jc w:val="center"/>
        <w:outlineLvl w:val="0"/>
        <w:rPr>
          <w:rFonts w:ascii="微软雅黑" w:hAnsi="微软雅黑" w:eastAsia="微软雅黑" w:cs="微软雅黑"/>
          <w:spacing w:val="19"/>
          <w:sz w:val="44"/>
          <w:szCs w:val="44"/>
          <w:lang w:eastAsia="zh-CN"/>
        </w:rPr>
      </w:pPr>
    </w:p>
    <w:p w14:paraId="3767458E">
      <w:pPr>
        <w:spacing w:before="91" w:line="159" w:lineRule="auto"/>
        <w:ind w:right="248"/>
        <w:jc w:val="center"/>
        <w:outlineLvl w:val="0"/>
        <w:rPr>
          <w:rFonts w:ascii="微软雅黑" w:hAnsi="微软雅黑" w:eastAsia="微软雅黑" w:cs="微软雅黑"/>
          <w:spacing w:val="19"/>
          <w:sz w:val="44"/>
          <w:szCs w:val="44"/>
          <w:lang w:eastAsia="zh-CN"/>
        </w:rPr>
      </w:pPr>
    </w:p>
    <w:p w14:paraId="1B110894">
      <w:pPr>
        <w:pStyle w:val="2"/>
        <w:spacing w:before="47" w:line="318" w:lineRule="auto"/>
        <w:ind w:right="19"/>
        <w:jc w:val="center"/>
        <w:rPr>
          <w:rFonts w:hint="eastAsia"/>
          <w:b/>
          <w:bCs/>
          <w:spacing w:val="8"/>
          <w:sz w:val="36"/>
          <w:szCs w:val="36"/>
          <w:lang w:eastAsia="zh-CN"/>
        </w:rPr>
      </w:pPr>
      <w:r>
        <w:rPr>
          <w:rFonts w:hint="eastAsia"/>
          <w:b/>
          <w:bCs/>
          <w:spacing w:val="8"/>
          <w:sz w:val="36"/>
          <w:szCs w:val="36"/>
          <w:lang w:eastAsia="zh-CN"/>
        </w:rPr>
        <w:t>创202412003 MRI特征与多源生物标志物在腰椎间盘突出症疼痛评估中的相关性研究</w:t>
      </w:r>
    </w:p>
    <w:p w14:paraId="04DBE624">
      <w:pPr>
        <w:pStyle w:val="2"/>
        <w:spacing w:before="47" w:line="318" w:lineRule="auto"/>
        <w:ind w:right="19"/>
        <w:jc w:val="both"/>
        <w:rPr>
          <w:rFonts w:hint="eastAsia"/>
          <w:b/>
          <w:bCs/>
          <w:spacing w:val="8"/>
          <w:sz w:val="36"/>
          <w:szCs w:val="36"/>
          <w:lang w:eastAsia="zh-CN"/>
        </w:rPr>
      </w:pPr>
    </w:p>
    <w:p w14:paraId="38D55841">
      <w:pPr>
        <w:pStyle w:val="2"/>
        <w:spacing w:before="47" w:line="318" w:lineRule="auto"/>
        <w:ind w:right="19"/>
        <w:rPr>
          <w:rFonts w:hint="eastAsia"/>
          <w:spacing w:val="8"/>
          <w:lang w:eastAsia="zh-CN"/>
        </w:rPr>
      </w:pPr>
      <w:r>
        <w:rPr>
          <w:rFonts w:hint="eastAsia"/>
          <w:spacing w:val="8"/>
          <w:lang w:eastAsia="zh-CN"/>
        </w:rPr>
        <w:t>一、领域：化免、交叉学科</w:t>
      </w:r>
    </w:p>
    <w:p w14:paraId="7982EE88">
      <w:pPr>
        <w:pStyle w:val="2"/>
        <w:spacing w:before="47" w:line="318" w:lineRule="auto"/>
        <w:ind w:right="19"/>
        <w:jc w:val="both"/>
        <w:rPr>
          <w:rFonts w:hint="eastAsia"/>
          <w:spacing w:val="8"/>
          <w:lang w:eastAsia="zh-CN"/>
        </w:rPr>
      </w:pPr>
      <w:r>
        <w:rPr>
          <w:rFonts w:hint="eastAsia"/>
          <w:spacing w:val="8"/>
          <w:lang w:eastAsia="zh-CN"/>
        </w:rPr>
        <w:t>二、主要研究内容：</w:t>
      </w:r>
    </w:p>
    <w:p w14:paraId="588EC8B6">
      <w:pPr>
        <w:pStyle w:val="2"/>
        <w:spacing w:before="47" w:line="318" w:lineRule="auto"/>
        <w:ind w:right="19" w:firstLine="652" w:firstLineChars="200"/>
        <w:jc w:val="both"/>
        <w:rPr>
          <w:rFonts w:hint="eastAsia"/>
          <w:spacing w:val="8"/>
          <w:lang w:eastAsia="zh-CN"/>
        </w:rPr>
      </w:pPr>
      <w:r>
        <w:rPr>
          <w:rFonts w:hint="eastAsia"/>
          <w:spacing w:val="8"/>
          <w:lang w:eastAsia="zh-CN"/>
        </w:rPr>
        <w:t>1</w:t>
      </w:r>
      <w:r>
        <w:rPr>
          <w:spacing w:val="8"/>
          <w:lang w:eastAsia="zh-CN"/>
        </w:rPr>
        <w:t>.</w:t>
      </w:r>
      <w:r>
        <w:rPr>
          <w:rFonts w:hint="eastAsia"/>
          <w:spacing w:val="8"/>
          <w:lang w:eastAsia="zh-CN"/>
        </w:rPr>
        <w:t>研究覆盖范围：本研究将覆盖成年腰椎间盘突出症患者，包括不同疼痛程度和MRI表现特征的患者。</w:t>
      </w:r>
    </w:p>
    <w:p w14:paraId="3FF930C6">
      <w:pPr>
        <w:pStyle w:val="2"/>
        <w:spacing w:before="47" w:line="318" w:lineRule="auto"/>
        <w:ind w:right="19" w:firstLine="652" w:firstLineChars="200"/>
        <w:jc w:val="both"/>
        <w:rPr>
          <w:rFonts w:hint="eastAsia"/>
          <w:spacing w:val="8"/>
          <w:lang w:eastAsia="zh-CN"/>
        </w:rPr>
      </w:pPr>
      <w:r>
        <w:rPr>
          <w:rFonts w:hint="eastAsia"/>
          <w:spacing w:val="8"/>
          <w:lang w:eastAsia="zh-CN"/>
        </w:rPr>
        <w:t>2</w:t>
      </w:r>
      <w:r>
        <w:rPr>
          <w:spacing w:val="8"/>
          <w:lang w:eastAsia="zh-CN"/>
        </w:rPr>
        <w:t>.</w:t>
      </w:r>
      <w:r>
        <w:rPr>
          <w:rFonts w:hint="eastAsia"/>
          <w:spacing w:val="8"/>
          <w:lang w:eastAsia="zh-CN"/>
        </w:rPr>
        <w:t>腰椎间盘突出症疼痛评估临床研究：本课题将探索MRI特征与多源生物标志物在腰椎间盘突出症患者疼痛评估中的临床应用价值。</w:t>
      </w:r>
    </w:p>
    <w:p w14:paraId="25FB2690">
      <w:pPr>
        <w:pStyle w:val="2"/>
        <w:spacing w:before="47" w:line="318" w:lineRule="auto"/>
        <w:ind w:right="19"/>
        <w:jc w:val="both"/>
        <w:rPr>
          <w:rFonts w:hint="eastAsia"/>
          <w:spacing w:val="8"/>
          <w:lang w:eastAsia="zh-CN"/>
        </w:rPr>
      </w:pPr>
      <w:r>
        <w:rPr>
          <w:rFonts w:hint="eastAsia"/>
          <w:spacing w:val="8"/>
          <w:lang w:eastAsia="zh-CN"/>
        </w:rPr>
        <w:t>三、项目考核指标（项目执行期内）：</w:t>
      </w:r>
    </w:p>
    <w:p w14:paraId="6A457666">
      <w:pPr>
        <w:pStyle w:val="2"/>
        <w:spacing w:before="47" w:line="318" w:lineRule="auto"/>
        <w:ind w:right="19" w:firstLine="652" w:firstLineChars="200"/>
        <w:jc w:val="both"/>
        <w:rPr>
          <w:rFonts w:hint="eastAsia"/>
          <w:spacing w:val="8"/>
          <w:lang w:eastAsia="zh-CN"/>
        </w:rPr>
      </w:pPr>
      <w:r>
        <w:rPr>
          <w:rFonts w:hint="eastAsia"/>
          <w:spacing w:val="8"/>
          <w:lang w:eastAsia="zh-CN"/>
        </w:rPr>
        <w:t>1.样本收集与分析：完成100-200例腰椎间盘突出症患者的MRI影像资料和血液样本收集。综合分析多个生物标志物，包括炎症、免疫因子、骨代谢、甲状腺激素等。</w:t>
      </w:r>
    </w:p>
    <w:p w14:paraId="5410CE76">
      <w:pPr>
        <w:pStyle w:val="2"/>
        <w:spacing w:before="47" w:line="318" w:lineRule="auto"/>
        <w:ind w:right="19" w:firstLine="652" w:firstLineChars="200"/>
        <w:jc w:val="both"/>
        <w:rPr>
          <w:rFonts w:hint="eastAsia"/>
          <w:spacing w:val="8"/>
          <w:lang w:eastAsia="zh-CN"/>
        </w:rPr>
      </w:pPr>
      <w:r>
        <w:rPr>
          <w:rFonts w:hint="eastAsia"/>
          <w:spacing w:val="8"/>
          <w:lang w:eastAsia="zh-CN"/>
        </w:rPr>
        <w:t>2.评估报告：分析MRI特征与多源生物标志物之间的相关性，以及其与疼痛评估结果的关联，建立疼痛评估模型，并评估其诊断效能。</w:t>
      </w:r>
    </w:p>
    <w:p w14:paraId="24E8E7A2">
      <w:pPr>
        <w:pStyle w:val="2"/>
        <w:spacing w:before="47" w:line="318" w:lineRule="auto"/>
        <w:ind w:right="19"/>
        <w:jc w:val="both"/>
        <w:rPr>
          <w:rFonts w:hint="eastAsia"/>
          <w:spacing w:val="8"/>
          <w:lang w:eastAsia="zh-CN"/>
        </w:rPr>
      </w:pPr>
      <w:r>
        <w:rPr>
          <w:rFonts w:hint="eastAsia"/>
          <w:spacing w:val="8"/>
          <w:lang w:eastAsia="zh-CN"/>
        </w:rPr>
        <w:t>四、项目实施年限：不超过2年</w:t>
      </w:r>
    </w:p>
    <w:p w14:paraId="13283912">
      <w:pPr>
        <w:pStyle w:val="2"/>
        <w:spacing w:before="47" w:line="318" w:lineRule="auto"/>
        <w:ind w:right="19"/>
        <w:jc w:val="both"/>
        <w:rPr>
          <w:spacing w:val="8"/>
          <w:lang w:eastAsia="zh-CN"/>
        </w:rPr>
      </w:pPr>
      <w:r>
        <w:rPr>
          <w:rFonts w:hint="eastAsia"/>
          <w:spacing w:val="8"/>
          <w:lang w:eastAsia="zh-CN"/>
        </w:rPr>
        <w:t>五、资助金额：不超过10万元。</w:t>
      </w:r>
    </w:p>
    <w:p w14:paraId="4F82B119">
      <w:pPr>
        <w:spacing w:before="91" w:line="159" w:lineRule="auto"/>
        <w:ind w:right="248"/>
        <w:jc w:val="center"/>
        <w:outlineLvl w:val="0"/>
        <w:rPr>
          <w:rFonts w:ascii="微软雅黑" w:hAnsi="微软雅黑" w:eastAsia="微软雅黑" w:cs="微软雅黑"/>
          <w:spacing w:val="19"/>
          <w:sz w:val="44"/>
          <w:szCs w:val="44"/>
          <w:lang w:eastAsia="zh-CN"/>
        </w:rPr>
      </w:pPr>
    </w:p>
    <w:p w14:paraId="72AE90A2">
      <w:pPr>
        <w:spacing w:before="91" w:line="159" w:lineRule="auto"/>
        <w:ind w:right="248"/>
        <w:jc w:val="center"/>
        <w:outlineLvl w:val="0"/>
        <w:rPr>
          <w:rFonts w:ascii="微软雅黑" w:hAnsi="微软雅黑" w:eastAsia="微软雅黑" w:cs="微软雅黑"/>
          <w:spacing w:val="19"/>
          <w:sz w:val="44"/>
          <w:szCs w:val="44"/>
          <w:lang w:eastAsia="zh-CN"/>
        </w:rPr>
      </w:pPr>
    </w:p>
    <w:p w14:paraId="66F624A8">
      <w:pPr>
        <w:spacing w:before="91" w:line="159" w:lineRule="auto"/>
        <w:ind w:right="248"/>
        <w:jc w:val="center"/>
        <w:outlineLvl w:val="0"/>
        <w:rPr>
          <w:rFonts w:ascii="微软雅黑" w:hAnsi="微软雅黑" w:eastAsia="微软雅黑" w:cs="微软雅黑"/>
          <w:spacing w:val="19"/>
          <w:sz w:val="44"/>
          <w:szCs w:val="44"/>
          <w:lang w:eastAsia="zh-CN"/>
        </w:rPr>
      </w:pPr>
    </w:p>
    <w:p w14:paraId="12FF8FE1">
      <w:pPr>
        <w:spacing w:before="91" w:line="159" w:lineRule="auto"/>
        <w:ind w:right="248"/>
        <w:jc w:val="both"/>
        <w:outlineLvl w:val="0"/>
        <w:rPr>
          <w:rFonts w:ascii="微软雅黑" w:hAnsi="微软雅黑" w:eastAsia="微软雅黑" w:cs="微软雅黑"/>
          <w:spacing w:val="19"/>
          <w:sz w:val="44"/>
          <w:szCs w:val="44"/>
          <w:lang w:eastAsia="zh-CN"/>
        </w:rPr>
      </w:pPr>
    </w:p>
    <w:p w14:paraId="1CAF0E8F">
      <w:pPr>
        <w:spacing w:before="91" w:line="159" w:lineRule="auto"/>
        <w:ind w:right="248"/>
        <w:jc w:val="center"/>
        <w:outlineLvl w:val="0"/>
        <w:rPr>
          <w:rFonts w:ascii="微软雅黑" w:hAnsi="微软雅黑" w:eastAsia="微软雅黑" w:cs="微软雅黑"/>
          <w:spacing w:val="19"/>
          <w:sz w:val="44"/>
          <w:szCs w:val="44"/>
          <w:lang w:eastAsia="zh-CN"/>
        </w:rPr>
      </w:pPr>
    </w:p>
    <w:p w14:paraId="677CC1AC">
      <w:pPr>
        <w:pStyle w:val="2"/>
        <w:spacing w:before="47" w:line="318" w:lineRule="auto"/>
        <w:ind w:right="19"/>
        <w:jc w:val="center"/>
        <w:rPr>
          <w:rFonts w:hint="eastAsia"/>
          <w:b/>
          <w:bCs/>
          <w:spacing w:val="8"/>
          <w:sz w:val="36"/>
          <w:szCs w:val="36"/>
          <w:lang w:eastAsia="zh-CN"/>
        </w:rPr>
      </w:pPr>
      <w:r>
        <w:rPr>
          <w:rFonts w:hint="eastAsia"/>
          <w:b/>
          <w:bCs/>
          <w:spacing w:val="8"/>
          <w:sz w:val="36"/>
          <w:szCs w:val="36"/>
          <w:lang w:eastAsia="zh-CN"/>
        </w:rPr>
        <w:t>创202412004 低剂量CT联合血清标志物筛查肺癌的应用价值</w:t>
      </w:r>
    </w:p>
    <w:p w14:paraId="0EA6D579">
      <w:pPr>
        <w:pStyle w:val="2"/>
        <w:spacing w:before="47" w:line="318" w:lineRule="auto"/>
        <w:ind w:right="19"/>
        <w:jc w:val="center"/>
        <w:rPr>
          <w:rFonts w:hint="eastAsia"/>
          <w:b/>
          <w:bCs/>
          <w:spacing w:val="8"/>
          <w:sz w:val="36"/>
          <w:szCs w:val="36"/>
          <w:lang w:eastAsia="zh-CN"/>
        </w:rPr>
      </w:pPr>
    </w:p>
    <w:p w14:paraId="153FCE15">
      <w:pPr>
        <w:pStyle w:val="2"/>
        <w:numPr>
          <w:ilvl w:val="0"/>
          <w:numId w:val="1"/>
        </w:numPr>
        <w:spacing w:before="47" w:line="318" w:lineRule="auto"/>
        <w:ind w:right="19"/>
        <w:jc w:val="both"/>
        <w:rPr>
          <w:spacing w:val="8"/>
          <w:lang w:eastAsia="zh-CN"/>
        </w:rPr>
      </w:pPr>
      <w:r>
        <w:rPr>
          <w:rFonts w:hint="eastAsia"/>
          <w:spacing w:val="8"/>
          <w:lang w:eastAsia="zh-CN"/>
        </w:rPr>
        <w:t>领域：血清标志物、分子、影像</w:t>
      </w:r>
    </w:p>
    <w:p w14:paraId="52241A8E">
      <w:pPr>
        <w:pStyle w:val="2"/>
        <w:spacing w:before="47" w:line="318" w:lineRule="auto"/>
        <w:ind w:right="19"/>
        <w:jc w:val="both"/>
        <w:rPr>
          <w:rFonts w:hint="eastAsia"/>
          <w:spacing w:val="8"/>
          <w:lang w:eastAsia="zh-CN"/>
        </w:rPr>
      </w:pPr>
      <w:r>
        <w:rPr>
          <w:rFonts w:hint="eastAsia"/>
          <w:spacing w:val="8"/>
          <w:lang w:eastAsia="zh-CN"/>
        </w:rPr>
        <w:t>二、主要研究内容：基于LDCT在提高早期肺癌检出率方面的优势，结合多种血清肿瘤标志物，如CYFRA21-1、CEA、SCC-Ag、NSE和ProGRP等，评估联合检测策略在降低LDCT假阳性率、提高肺癌早期诊断准确性方面的效果，并探讨不同标志物组合对肺癌亚型（如非小细胞肺癌和小细胞肺癌）诊断的效能。</w:t>
      </w:r>
    </w:p>
    <w:p w14:paraId="5E65E021">
      <w:pPr>
        <w:pStyle w:val="2"/>
        <w:spacing w:before="47" w:line="318" w:lineRule="auto"/>
        <w:ind w:right="19"/>
        <w:jc w:val="both"/>
        <w:rPr>
          <w:rFonts w:hint="eastAsia"/>
          <w:spacing w:val="8"/>
          <w:lang w:eastAsia="zh-CN"/>
        </w:rPr>
      </w:pPr>
      <w:r>
        <w:rPr>
          <w:rFonts w:hint="eastAsia"/>
          <w:spacing w:val="8"/>
          <w:lang w:eastAsia="zh-CN"/>
        </w:rPr>
        <w:t>三、项目考核指标（项目执行期内）：</w:t>
      </w:r>
    </w:p>
    <w:p w14:paraId="6FFAA46D">
      <w:pPr>
        <w:pStyle w:val="2"/>
        <w:spacing w:before="47" w:line="318" w:lineRule="auto"/>
        <w:ind w:right="19" w:firstLine="652" w:firstLineChars="200"/>
        <w:jc w:val="both"/>
        <w:rPr>
          <w:rFonts w:hint="eastAsia"/>
          <w:spacing w:val="8"/>
          <w:lang w:eastAsia="zh-CN"/>
        </w:rPr>
      </w:pPr>
      <w:r>
        <w:rPr>
          <w:rFonts w:hint="eastAsia"/>
          <w:spacing w:val="8"/>
          <w:lang w:eastAsia="zh-CN"/>
        </w:rPr>
        <w:t>1.样本收集与分析：完成100-200例高风险人群的LDCT扫描和血清数据收集，综合分析多个生物标志物，包括但不限于肿瘤标志物、血脂、凝血等标志物。</w:t>
      </w:r>
    </w:p>
    <w:p w14:paraId="26080598">
      <w:pPr>
        <w:pStyle w:val="2"/>
        <w:spacing w:before="47" w:line="318" w:lineRule="auto"/>
        <w:ind w:right="19" w:firstLine="652" w:firstLineChars="200"/>
        <w:jc w:val="both"/>
        <w:rPr>
          <w:rFonts w:hint="eastAsia"/>
          <w:spacing w:val="8"/>
          <w:lang w:eastAsia="zh-CN"/>
        </w:rPr>
      </w:pPr>
      <w:r>
        <w:rPr>
          <w:rFonts w:hint="eastAsia"/>
          <w:spacing w:val="8"/>
          <w:lang w:eastAsia="zh-CN"/>
        </w:rPr>
        <w:t>2.筛查模型建立与评估：基于LDCT影像特征和血清标志物建立肺癌筛查模型，并评估其诊断效能，生成评估报告。</w:t>
      </w:r>
    </w:p>
    <w:p w14:paraId="6098926C">
      <w:pPr>
        <w:pStyle w:val="2"/>
        <w:spacing w:before="47" w:line="318" w:lineRule="auto"/>
        <w:ind w:right="19"/>
        <w:jc w:val="both"/>
        <w:rPr>
          <w:rFonts w:hint="eastAsia"/>
          <w:spacing w:val="8"/>
          <w:lang w:eastAsia="zh-CN"/>
        </w:rPr>
      </w:pPr>
      <w:r>
        <w:rPr>
          <w:rFonts w:hint="eastAsia"/>
          <w:spacing w:val="8"/>
          <w:lang w:eastAsia="zh-CN"/>
        </w:rPr>
        <w:t>四、项目实施年限：不超过2年</w:t>
      </w:r>
    </w:p>
    <w:p w14:paraId="3C3F5293">
      <w:pPr>
        <w:pStyle w:val="2"/>
        <w:spacing w:before="47" w:line="318" w:lineRule="auto"/>
        <w:ind w:right="19"/>
        <w:jc w:val="both"/>
        <w:rPr>
          <w:spacing w:val="8"/>
          <w:lang w:eastAsia="zh-CN"/>
        </w:rPr>
      </w:pPr>
      <w:r>
        <w:rPr>
          <w:rFonts w:hint="eastAsia"/>
          <w:spacing w:val="8"/>
          <w:lang w:eastAsia="zh-CN"/>
        </w:rPr>
        <w:t>五、资助金额：不超过10万元</w:t>
      </w:r>
    </w:p>
    <w:p w14:paraId="7417439D">
      <w:pPr>
        <w:spacing w:before="91" w:line="159" w:lineRule="auto"/>
        <w:ind w:right="248"/>
        <w:jc w:val="center"/>
        <w:outlineLvl w:val="0"/>
        <w:rPr>
          <w:rFonts w:ascii="微软雅黑" w:hAnsi="微软雅黑" w:eastAsia="微软雅黑" w:cs="微软雅黑"/>
          <w:spacing w:val="19"/>
          <w:sz w:val="44"/>
          <w:szCs w:val="44"/>
          <w:lang w:eastAsia="zh-CN"/>
        </w:rPr>
      </w:pPr>
    </w:p>
    <w:p w14:paraId="534C6A82">
      <w:pPr>
        <w:spacing w:before="91" w:line="159" w:lineRule="auto"/>
        <w:ind w:right="248"/>
        <w:jc w:val="center"/>
        <w:outlineLvl w:val="0"/>
        <w:rPr>
          <w:rFonts w:ascii="微软雅黑" w:hAnsi="微软雅黑" w:eastAsia="微软雅黑" w:cs="微软雅黑"/>
          <w:spacing w:val="19"/>
          <w:sz w:val="44"/>
          <w:szCs w:val="44"/>
          <w:lang w:eastAsia="zh-CN"/>
        </w:rPr>
      </w:pPr>
    </w:p>
    <w:p w14:paraId="497B3AEA">
      <w:pPr>
        <w:spacing w:before="91" w:line="159" w:lineRule="auto"/>
        <w:ind w:right="248"/>
        <w:jc w:val="center"/>
        <w:outlineLvl w:val="0"/>
        <w:rPr>
          <w:rFonts w:ascii="微软雅黑" w:hAnsi="微软雅黑" w:eastAsia="微软雅黑" w:cs="微软雅黑"/>
          <w:spacing w:val="19"/>
          <w:sz w:val="44"/>
          <w:szCs w:val="44"/>
          <w:lang w:eastAsia="zh-CN"/>
        </w:rPr>
      </w:pPr>
    </w:p>
    <w:p w14:paraId="0D405E4A">
      <w:pPr>
        <w:spacing w:before="91" w:line="159" w:lineRule="auto"/>
        <w:ind w:right="248"/>
        <w:jc w:val="center"/>
        <w:outlineLvl w:val="0"/>
        <w:rPr>
          <w:rFonts w:ascii="微软雅黑" w:hAnsi="微软雅黑" w:eastAsia="微软雅黑" w:cs="微软雅黑"/>
          <w:spacing w:val="19"/>
          <w:sz w:val="44"/>
          <w:szCs w:val="44"/>
          <w:lang w:eastAsia="zh-CN"/>
        </w:rPr>
      </w:pPr>
    </w:p>
    <w:p w14:paraId="4016C948">
      <w:pPr>
        <w:spacing w:before="91" w:line="159" w:lineRule="auto"/>
        <w:ind w:right="248"/>
        <w:jc w:val="both"/>
        <w:outlineLvl w:val="0"/>
        <w:rPr>
          <w:rFonts w:hint="eastAsia" w:ascii="微软雅黑" w:hAnsi="微软雅黑" w:eastAsia="微软雅黑" w:cs="微软雅黑"/>
          <w:spacing w:val="19"/>
          <w:sz w:val="44"/>
          <w:szCs w:val="44"/>
          <w:lang w:eastAsia="zh-CN"/>
        </w:rPr>
      </w:pPr>
    </w:p>
    <w:p w14:paraId="3E6EA322">
      <w:pPr>
        <w:pStyle w:val="2"/>
        <w:spacing w:before="47" w:line="318" w:lineRule="auto"/>
        <w:ind w:right="19"/>
        <w:jc w:val="center"/>
        <w:rPr>
          <w:rFonts w:hint="eastAsia"/>
          <w:b/>
          <w:bCs/>
          <w:spacing w:val="8"/>
          <w:sz w:val="36"/>
          <w:szCs w:val="36"/>
          <w:lang w:eastAsia="zh-CN"/>
        </w:rPr>
      </w:pPr>
      <w:r>
        <w:rPr>
          <w:rFonts w:hint="eastAsia"/>
          <w:b/>
          <w:bCs/>
          <w:spacing w:val="8"/>
          <w:sz w:val="36"/>
          <w:szCs w:val="36"/>
          <w:lang w:eastAsia="zh-CN"/>
        </w:rPr>
        <w:t>创202412005 新型外周血炎症组合指数在高原COPD患者肺癌早筛模型构建及应用价值研究</w:t>
      </w:r>
    </w:p>
    <w:p w14:paraId="4F31CE3F">
      <w:pPr>
        <w:pStyle w:val="2"/>
        <w:spacing w:before="47" w:line="318" w:lineRule="auto"/>
        <w:ind w:right="19"/>
        <w:jc w:val="center"/>
        <w:rPr>
          <w:rFonts w:hint="eastAsia"/>
          <w:b/>
          <w:bCs/>
          <w:spacing w:val="8"/>
          <w:sz w:val="36"/>
          <w:szCs w:val="36"/>
          <w:lang w:eastAsia="zh-CN"/>
        </w:rPr>
      </w:pPr>
    </w:p>
    <w:p w14:paraId="4A4FDFBD">
      <w:pPr>
        <w:pStyle w:val="2"/>
        <w:spacing w:before="47" w:line="318" w:lineRule="auto"/>
        <w:ind w:right="19"/>
        <w:jc w:val="both"/>
        <w:rPr>
          <w:rFonts w:hint="eastAsia"/>
          <w:spacing w:val="8"/>
          <w:lang w:eastAsia="zh-CN"/>
        </w:rPr>
      </w:pPr>
      <w:r>
        <w:rPr>
          <w:rFonts w:hint="eastAsia"/>
          <w:spacing w:val="8"/>
          <w:lang w:eastAsia="zh-CN"/>
        </w:rPr>
        <w:t>一、领域：肿瘤学、血细胞分析、影像</w:t>
      </w:r>
    </w:p>
    <w:p w14:paraId="0EFBDB22">
      <w:pPr>
        <w:pStyle w:val="2"/>
        <w:spacing w:before="47" w:line="318" w:lineRule="auto"/>
        <w:ind w:right="19"/>
        <w:jc w:val="both"/>
        <w:rPr>
          <w:rFonts w:hint="eastAsia"/>
          <w:spacing w:val="8"/>
          <w:lang w:eastAsia="zh-CN"/>
        </w:rPr>
      </w:pPr>
      <w:r>
        <w:rPr>
          <w:rFonts w:hint="eastAsia"/>
          <w:spacing w:val="8"/>
          <w:lang w:eastAsia="zh-CN"/>
        </w:rPr>
        <w:t>二、主要研究内容：收集高原地区COPD患者和健康对照者的临床数据及外周血样本，分析传统炎症指标（如中性粒细胞/淋巴细胞比值NLR、血小板/淋巴细胞比值PLR、C反应蛋白CRP）及新型炎症标志物（如IL-6、TNF-α、氧化应激等标志物）的组间差异。通过整合多种炎症标志物构建组合指数，并评估其对早期筛查肺癌的敏感性、特异性及预测效能。</w:t>
      </w:r>
    </w:p>
    <w:p w14:paraId="0567325E">
      <w:pPr>
        <w:pStyle w:val="2"/>
        <w:spacing w:before="47" w:line="318" w:lineRule="auto"/>
        <w:ind w:right="19"/>
        <w:jc w:val="both"/>
        <w:rPr>
          <w:rFonts w:hint="eastAsia"/>
          <w:spacing w:val="8"/>
          <w:lang w:eastAsia="zh-CN"/>
        </w:rPr>
      </w:pPr>
      <w:r>
        <w:rPr>
          <w:rFonts w:hint="eastAsia"/>
          <w:spacing w:val="8"/>
          <w:lang w:eastAsia="zh-CN"/>
        </w:rPr>
        <w:t>三、项目考核指标（项目执行期内）：</w:t>
      </w:r>
    </w:p>
    <w:p w14:paraId="35CB3873">
      <w:pPr>
        <w:pStyle w:val="2"/>
        <w:spacing w:before="47" w:line="318" w:lineRule="auto"/>
        <w:ind w:right="19" w:firstLine="652" w:firstLineChars="200"/>
        <w:jc w:val="both"/>
        <w:rPr>
          <w:rFonts w:hint="eastAsia"/>
          <w:spacing w:val="8"/>
          <w:lang w:eastAsia="zh-CN"/>
        </w:rPr>
      </w:pPr>
      <w:r>
        <w:rPr>
          <w:rFonts w:hint="eastAsia"/>
          <w:spacing w:val="8"/>
          <w:lang w:eastAsia="zh-CN"/>
        </w:rPr>
        <w:t>1.样本收集与分析：完成100-300例高原COPD患者的血清样本收集，综合分析多个生物标志物，包括但不限于肿瘤标志物、血细胞、炎症等标志物。</w:t>
      </w:r>
    </w:p>
    <w:p w14:paraId="60AAC186">
      <w:pPr>
        <w:pStyle w:val="2"/>
        <w:spacing w:before="47" w:line="318" w:lineRule="auto"/>
        <w:ind w:right="19" w:firstLine="652" w:firstLineChars="200"/>
        <w:jc w:val="both"/>
        <w:rPr>
          <w:rFonts w:hint="eastAsia"/>
          <w:spacing w:val="8"/>
          <w:lang w:eastAsia="zh-CN"/>
        </w:rPr>
      </w:pPr>
      <w:r>
        <w:rPr>
          <w:rFonts w:hint="eastAsia"/>
          <w:spacing w:val="8"/>
          <w:lang w:eastAsia="zh-CN"/>
        </w:rPr>
        <w:t>2.筛查模型建立与评估：构建高原COPD患者的血清标志物肺癌筛查模型，并评估其诊断效能，生成评估报告。</w:t>
      </w:r>
    </w:p>
    <w:p w14:paraId="5541F294">
      <w:pPr>
        <w:pStyle w:val="2"/>
        <w:spacing w:before="47" w:line="318" w:lineRule="auto"/>
        <w:ind w:right="19"/>
        <w:jc w:val="both"/>
        <w:rPr>
          <w:rFonts w:hint="eastAsia"/>
          <w:spacing w:val="8"/>
          <w:lang w:eastAsia="zh-CN"/>
        </w:rPr>
      </w:pPr>
      <w:r>
        <w:rPr>
          <w:rFonts w:hint="eastAsia"/>
          <w:spacing w:val="8"/>
          <w:lang w:eastAsia="zh-CN"/>
        </w:rPr>
        <w:t>四、项目实施年限：不超过2年</w:t>
      </w:r>
    </w:p>
    <w:p w14:paraId="150C4DC2">
      <w:pPr>
        <w:pStyle w:val="2"/>
        <w:spacing w:before="47" w:line="318" w:lineRule="auto"/>
        <w:ind w:right="19"/>
        <w:jc w:val="both"/>
        <w:rPr>
          <w:spacing w:val="8"/>
          <w:lang w:eastAsia="zh-CN"/>
        </w:rPr>
      </w:pPr>
      <w:r>
        <w:rPr>
          <w:rFonts w:hint="eastAsia"/>
          <w:spacing w:val="8"/>
          <w:lang w:eastAsia="zh-CN"/>
        </w:rPr>
        <w:t>五、资助金额：不超过10万元。</w:t>
      </w:r>
    </w:p>
    <w:p w14:paraId="26892C99">
      <w:pPr>
        <w:pStyle w:val="2"/>
        <w:spacing w:before="47" w:line="318" w:lineRule="auto"/>
        <w:ind w:right="19"/>
        <w:jc w:val="both"/>
        <w:rPr>
          <w:spacing w:val="8"/>
          <w:lang w:eastAsia="zh-CN"/>
        </w:rPr>
      </w:pPr>
    </w:p>
    <w:p w14:paraId="4C8099ED">
      <w:pPr>
        <w:pStyle w:val="2"/>
        <w:spacing w:before="47" w:line="318" w:lineRule="auto"/>
        <w:ind w:right="19"/>
        <w:jc w:val="both"/>
        <w:rPr>
          <w:spacing w:val="8"/>
          <w:lang w:eastAsia="zh-CN"/>
        </w:rPr>
      </w:pPr>
    </w:p>
    <w:p w14:paraId="25505686">
      <w:pPr>
        <w:pStyle w:val="2"/>
        <w:spacing w:before="47" w:line="318" w:lineRule="auto"/>
        <w:ind w:right="19"/>
        <w:jc w:val="both"/>
        <w:rPr>
          <w:spacing w:val="8"/>
          <w:lang w:eastAsia="zh-CN"/>
        </w:rPr>
      </w:pPr>
    </w:p>
    <w:p w14:paraId="03A7CDA9">
      <w:pPr>
        <w:pStyle w:val="2"/>
        <w:spacing w:before="47" w:line="318" w:lineRule="auto"/>
        <w:ind w:right="19"/>
        <w:jc w:val="both"/>
        <w:rPr>
          <w:spacing w:val="8"/>
          <w:lang w:eastAsia="zh-CN"/>
        </w:rPr>
      </w:pPr>
    </w:p>
    <w:p w14:paraId="5346339B">
      <w:pPr>
        <w:pStyle w:val="2"/>
        <w:spacing w:before="47" w:line="318" w:lineRule="auto"/>
        <w:ind w:right="19"/>
        <w:jc w:val="both"/>
        <w:rPr>
          <w:spacing w:val="8"/>
          <w:lang w:eastAsia="zh-CN"/>
        </w:rPr>
      </w:pPr>
    </w:p>
    <w:p w14:paraId="622A19B4">
      <w:pPr>
        <w:pStyle w:val="2"/>
        <w:spacing w:before="47" w:line="318" w:lineRule="auto"/>
        <w:ind w:right="19"/>
        <w:jc w:val="center"/>
        <w:rPr>
          <w:rFonts w:hint="eastAsia"/>
          <w:b/>
          <w:bCs/>
          <w:spacing w:val="8"/>
          <w:sz w:val="36"/>
          <w:szCs w:val="36"/>
          <w:lang w:eastAsia="zh-CN"/>
        </w:rPr>
      </w:pPr>
      <w:r>
        <w:rPr>
          <w:rFonts w:hint="eastAsia"/>
          <w:b/>
          <w:bCs/>
          <w:spacing w:val="8"/>
          <w:sz w:val="36"/>
          <w:szCs w:val="36"/>
          <w:lang w:eastAsia="zh-CN"/>
        </w:rPr>
        <w:t>创202412006 CXCL14对高脂微环境下乳腺癌细胞恶性生物学的调控机制研究</w:t>
      </w:r>
    </w:p>
    <w:p w14:paraId="7B090C03">
      <w:pPr>
        <w:pStyle w:val="2"/>
        <w:spacing w:before="47" w:line="318" w:lineRule="auto"/>
        <w:ind w:right="19"/>
        <w:jc w:val="center"/>
        <w:rPr>
          <w:rFonts w:hint="eastAsia"/>
          <w:b/>
          <w:bCs/>
          <w:spacing w:val="8"/>
          <w:sz w:val="36"/>
          <w:szCs w:val="36"/>
          <w:lang w:eastAsia="zh-CN"/>
        </w:rPr>
      </w:pPr>
    </w:p>
    <w:p w14:paraId="0B864E92">
      <w:pPr>
        <w:pStyle w:val="2"/>
        <w:spacing w:before="47" w:line="318" w:lineRule="auto"/>
        <w:ind w:right="19"/>
        <w:jc w:val="both"/>
        <w:rPr>
          <w:spacing w:val="8"/>
          <w:lang w:eastAsia="zh-CN"/>
        </w:rPr>
      </w:pPr>
      <w:r>
        <w:rPr>
          <w:rFonts w:hint="eastAsia"/>
          <w:spacing w:val="8"/>
          <w:lang w:eastAsia="zh-CN"/>
        </w:rPr>
        <w:t>一、领域：分子、乳腺癌、机制</w:t>
      </w:r>
    </w:p>
    <w:p w14:paraId="38707F9D">
      <w:pPr>
        <w:pStyle w:val="2"/>
        <w:spacing w:before="47" w:line="318" w:lineRule="auto"/>
        <w:ind w:right="19"/>
        <w:jc w:val="both"/>
        <w:rPr>
          <w:rFonts w:hint="eastAsia"/>
          <w:spacing w:val="8"/>
          <w:lang w:eastAsia="zh-CN"/>
        </w:rPr>
      </w:pPr>
      <w:r>
        <w:rPr>
          <w:rFonts w:hint="eastAsia"/>
          <w:spacing w:val="8"/>
          <w:lang w:eastAsia="zh-CN"/>
        </w:rPr>
        <w:t>二、主要研发内容</w:t>
      </w:r>
    </w:p>
    <w:p w14:paraId="77E3134C">
      <w:pPr>
        <w:pStyle w:val="2"/>
        <w:spacing w:before="47" w:line="318" w:lineRule="auto"/>
        <w:ind w:right="19" w:firstLine="652" w:firstLineChars="200"/>
        <w:jc w:val="both"/>
        <w:rPr>
          <w:rFonts w:hint="eastAsia"/>
          <w:spacing w:val="8"/>
          <w:lang w:eastAsia="zh-CN"/>
        </w:rPr>
      </w:pPr>
      <w:r>
        <w:rPr>
          <w:rFonts w:hint="eastAsia"/>
          <w:spacing w:val="8"/>
          <w:lang w:eastAsia="zh-CN"/>
        </w:rPr>
        <w:t>探讨高脂饮食对乳腺癌恶性生物学行为及其免疫微环境的影响，特别是高脂环境下CXCL14在乳腺癌恶性进展中的作用，以及CXCL14调控乳腺癌进展的分子机制，以期为乳腺癌的预防和治疗提供新的视角和策略</w:t>
      </w:r>
    </w:p>
    <w:p w14:paraId="17C71539">
      <w:pPr>
        <w:pStyle w:val="2"/>
        <w:spacing w:before="47" w:line="318" w:lineRule="auto"/>
        <w:ind w:right="19"/>
        <w:jc w:val="both"/>
        <w:rPr>
          <w:rFonts w:hint="eastAsia"/>
          <w:spacing w:val="8"/>
          <w:lang w:eastAsia="zh-CN"/>
        </w:rPr>
      </w:pPr>
      <w:r>
        <w:rPr>
          <w:rFonts w:hint="eastAsia"/>
          <w:spacing w:val="8"/>
          <w:lang w:eastAsia="zh-CN"/>
        </w:rPr>
        <w:t>三、项目考核指标（项目执行期内）</w:t>
      </w:r>
    </w:p>
    <w:p w14:paraId="24A28931">
      <w:pPr>
        <w:pStyle w:val="2"/>
        <w:spacing w:before="47" w:line="318" w:lineRule="auto"/>
        <w:ind w:right="19" w:firstLine="652" w:firstLineChars="200"/>
        <w:jc w:val="both"/>
        <w:rPr>
          <w:rFonts w:hint="eastAsia"/>
          <w:spacing w:val="8"/>
          <w:lang w:eastAsia="zh-CN"/>
        </w:rPr>
      </w:pPr>
      <w:r>
        <w:rPr>
          <w:rFonts w:hint="eastAsia"/>
          <w:spacing w:val="8"/>
          <w:lang w:eastAsia="zh-CN"/>
        </w:rPr>
        <w:t>1.建立乳腺癌移植瘤小鼠模型，评估高脂对乳腺癌微环境的影响</w:t>
      </w:r>
    </w:p>
    <w:p w14:paraId="448A951A">
      <w:pPr>
        <w:pStyle w:val="2"/>
        <w:spacing w:before="47" w:line="318" w:lineRule="auto"/>
        <w:ind w:right="19" w:firstLine="652" w:firstLineChars="200"/>
        <w:jc w:val="both"/>
        <w:rPr>
          <w:rFonts w:hint="eastAsia"/>
          <w:spacing w:val="8"/>
          <w:lang w:eastAsia="zh-CN"/>
        </w:rPr>
      </w:pPr>
      <w:r>
        <w:rPr>
          <w:rFonts w:hint="eastAsia"/>
          <w:spacing w:val="8"/>
          <w:lang w:eastAsia="zh-CN"/>
        </w:rPr>
        <w:t>2.通过体外实验评估高脂环境下CXCL14对乳腺癌恶性进展；</w:t>
      </w:r>
    </w:p>
    <w:p w14:paraId="53136425">
      <w:pPr>
        <w:pStyle w:val="2"/>
        <w:spacing w:before="47" w:line="318" w:lineRule="auto"/>
        <w:ind w:right="19" w:firstLine="652" w:firstLineChars="200"/>
        <w:jc w:val="both"/>
        <w:rPr>
          <w:rFonts w:hint="eastAsia"/>
          <w:spacing w:val="8"/>
          <w:lang w:eastAsia="zh-CN"/>
        </w:rPr>
      </w:pPr>
      <w:r>
        <w:rPr>
          <w:rFonts w:hint="eastAsia"/>
          <w:spacing w:val="8"/>
          <w:lang w:eastAsia="zh-CN"/>
        </w:rPr>
        <w:t>3.培养研究生1-2名。</w:t>
      </w:r>
    </w:p>
    <w:p w14:paraId="70EF0DE9">
      <w:pPr>
        <w:pStyle w:val="2"/>
        <w:spacing w:before="47" w:line="318" w:lineRule="auto"/>
        <w:ind w:right="19" w:firstLine="652" w:firstLineChars="200"/>
        <w:jc w:val="both"/>
        <w:rPr>
          <w:rFonts w:hint="eastAsia"/>
          <w:spacing w:val="8"/>
          <w:lang w:eastAsia="zh-CN"/>
        </w:rPr>
      </w:pPr>
      <w:r>
        <w:rPr>
          <w:rFonts w:hint="eastAsia"/>
          <w:spacing w:val="8"/>
          <w:lang w:eastAsia="zh-CN"/>
        </w:rPr>
        <w:t>4.参加学术交流1-2次。</w:t>
      </w:r>
    </w:p>
    <w:p w14:paraId="2712D0E6">
      <w:pPr>
        <w:pStyle w:val="2"/>
        <w:spacing w:before="47" w:line="318" w:lineRule="auto"/>
        <w:ind w:right="19" w:firstLine="652" w:firstLineChars="200"/>
        <w:jc w:val="both"/>
        <w:rPr>
          <w:rFonts w:hint="eastAsia"/>
          <w:spacing w:val="8"/>
          <w:lang w:eastAsia="zh-CN"/>
        </w:rPr>
      </w:pPr>
      <w:r>
        <w:rPr>
          <w:rFonts w:hint="eastAsia"/>
          <w:spacing w:val="8"/>
          <w:lang w:eastAsia="zh-CN"/>
        </w:rPr>
        <w:t>5.在本领域高水平期刊发表论文1-2篇；。</w:t>
      </w:r>
    </w:p>
    <w:p w14:paraId="08A5C0EC">
      <w:pPr>
        <w:pStyle w:val="2"/>
        <w:spacing w:before="47" w:line="318" w:lineRule="auto"/>
        <w:ind w:right="19"/>
        <w:jc w:val="both"/>
        <w:rPr>
          <w:rFonts w:hint="eastAsia"/>
          <w:spacing w:val="8"/>
          <w:lang w:eastAsia="zh-CN"/>
        </w:rPr>
      </w:pPr>
      <w:r>
        <w:rPr>
          <w:rFonts w:hint="eastAsia"/>
          <w:spacing w:val="8"/>
          <w:lang w:eastAsia="zh-CN"/>
        </w:rPr>
        <w:t>四、项目实施年限：不超过</w:t>
      </w:r>
      <w:r>
        <w:rPr>
          <w:rFonts w:hint="eastAsia"/>
          <w:spacing w:val="8"/>
          <w:lang w:val="en-US" w:eastAsia="zh-CN"/>
        </w:rPr>
        <w:t>2</w:t>
      </w:r>
      <w:r>
        <w:rPr>
          <w:rFonts w:hint="eastAsia"/>
          <w:spacing w:val="8"/>
          <w:lang w:eastAsia="zh-CN"/>
        </w:rPr>
        <w:t>年</w:t>
      </w:r>
    </w:p>
    <w:p w14:paraId="70DECFED">
      <w:pPr>
        <w:pStyle w:val="2"/>
        <w:spacing w:before="47" w:line="318" w:lineRule="auto"/>
        <w:ind w:right="19"/>
        <w:jc w:val="both"/>
        <w:rPr>
          <w:spacing w:val="8"/>
          <w:lang w:eastAsia="zh-CN"/>
        </w:rPr>
      </w:pPr>
      <w:r>
        <w:rPr>
          <w:rFonts w:hint="eastAsia"/>
          <w:spacing w:val="8"/>
          <w:lang w:eastAsia="zh-CN"/>
        </w:rPr>
        <w:t>五、资助金额：不超过20万元</w:t>
      </w:r>
    </w:p>
    <w:p w14:paraId="153846B8">
      <w:pPr>
        <w:spacing w:before="91" w:line="159" w:lineRule="auto"/>
        <w:ind w:right="248"/>
        <w:jc w:val="center"/>
        <w:outlineLvl w:val="0"/>
        <w:rPr>
          <w:rFonts w:ascii="微软雅黑" w:hAnsi="微软雅黑" w:eastAsia="微软雅黑" w:cs="微软雅黑"/>
          <w:spacing w:val="19"/>
          <w:sz w:val="44"/>
          <w:szCs w:val="44"/>
          <w:lang w:eastAsia="zh-CN"/>
        </w:rPr>
      </w:pPr>
    </w:p>
    <w:p w14:paraId="7D9F0721">
      <w:pPr>
        <w:spacing w:before="91" w:line="159" w:lineRule="auto"/>
        <w:ind w:right="248"/>
        <w:jc w:val="center"/>
        <w:outlineLvl w:val="0"/>
        <w:rPr>
          <w:rFonts w:ascii="微软雅黑" w:hAnsi="微软雅黑" w:eastAsia="微软雅黑" w:cs="微软雅黑"/>
          <w:spacing w:val="19"/>
          <w:sz w:val="44"/>
          <w:szCs w:val="44"/>
          <w:lang w:eastAsia="zh-CN"/>
        </w:rPr>
      </w:pPr>
    </w:p>
    <w:p w14:paraId="0CE23C54">
      <w:pPr>
        <w:spacing w:before="91" w:line="159" w:lineRule="auto"/>
        <w:ind w:right="248"/>
        <w:jc w:val="center"/>
        <w:outlineLvl w:val="0"/>
        <w:rPr>
          <w:rFonts w:ascii="微软雅黑" w:hAnsi="微软雅黑" w:eastAsia="微软雅黑" w:cs="微软雅黑"/>
          <w:spacing w:val="19"/>
          <w:sz w:val="44"/>
          <w:szCs w:val="44"/>
          <w:lang w:eastAsia="zh-CN"/>
        </w:rPr>
      </w:pPr>
    </w:p>
    <w:p w14:paraId="5CC0A0C7">
      <w:pPr>
        <w:spacing w:before="91" w:line="159" w:lineRule="auto"/>
        <w:ind w:right="248"/>
        <w:jc w:val="center"/>
        <w:outlineLvl w:val="0"/>
        <w:rPr>
          <w:rFonts w:ascii="微软雅黑" w:hAnsi="微软雅黑" w:eastAsia="微软雅黑" w:cs="微软雅黑"/>
          <w:spacing w:val="19"/>
          <w:sz w:val="44"/>
          <w:szCs w:val="44"/>
          <w:lang w:eastAsia="zh-CN"/>
        </w:rPr>
      </w:pPr>
    </w:p>
    <w:p w14:paraId="0D8EC625">
      <w:pPr>
        <w:spacing w:before="91" w:line="159" w:lineRule="auto"/>
        <w:ind w:right="248"/>
        <w:outlineLvl w:val="0"/>
        <w:rPr>
          <w:rFonts w:ascii="微软雅黑" w:hAnsi="微软雅黑" w:eastAsia="微软雅黑" w:cs="微软雅黑"/>
          <w:spacing w:val="19"/>
          <w:sz w:val="44"/>
          <w:szCs w:val="44"/>
          <w:lang w:eastAsia="zh-CN"/>
        </w:rPr>
      </w:pPr>
    </w:p>
    <w:p w14:paraId="45FFC42A">
      <w:pPr>
        <w:pStyle w:val="2"/>
        <w:spacing w:before="47" w:line="318" w:lineRule="auto"/>
        <w:ind w:right="19"/>
        <w:jc w:val="center"/>
        <w:rPr>
          <w:rFonts w:hint="eastAsia"/>
          <w:b/>
          <w:bCs/>
          <w:spacing w:val="8"/>
          <w:sz w:val="36"/>
          <w:szCs w:val="36"/>
          <w:lang w:eastAsia="zh-CN"/>
        </w:rPr>
      </w:pPr>
      <w:r>
        <w:rPr>
          <w:rFonts w:hint="eastAsia"/>
          <w:b/>
          <w:bCs/>
          <w:spacing w:val="8"/>
          <w:sz w:val="36"/>
          <w:szCs w:val="36"/>
          <w:lang w:eastAsia="zh-CN"/>
        </w:rPr>
        <w:t>创202412007 特殊样本生化检测项目适用性验证相关临床研究</w:t>
      </w:r>
    </w:p>
    <w:p w14:paraId="265FCBB3">
      <w:pPr>
        <w:pStyle w:val="2"/>
        <w:spacing w:before="47" w:line="318" w:lineRule="auto"/>
        <w:ind w:right="19"/>
        <w:jc w:val="center"/>
        <w:rPr>
          <w:rFonts w:hint="eastAsia"/>
          <w:b/>
          <w:bCs/>
          <w:spacing w:val="8"/>
          <w:sz w:val="36"/>
          <w:szCs w:val="36"/>
          <w:lang w:eastAsia="zh-CN"/>
        </w:rPr>
      </w:pPr>
    </w:p>
    <w:p w14:paraId="5D4AF059">
      <w:pPr>
        <w:pStyle w:val="2"/>
        <w:spacing w:before="47" w:line="318" w:lineRule="auto"/>
        <w:ind w:right="19"/>
        <w:jc w:val="both"/>
        <w:rPr>
          <w:spacing w:val="8"/>
          <w:lang w:eastAsia="zh-CN"/>
        </w:rPr>
      </w:pPr>
      <w:r>
        <w:rPr>
          <w:rFonts w:hint="eastAsia"/>
          <w:spacing w:val="8"/>
          <w:lang w:eastAsia="zh-CN"/>
        </w:rPr>
        <w:t>一、领域</w:t>
      </w:r>
      <w:r>
        <w:rPr>
          <w:spacing w:val="8"/>
          <w:lang w:eastAsia="zh-CN"/>
        </w:rPr>
        <w:t>：</w:t>
      </w:r>
      <w:r>
        <w:rPr>
          <w:rFonts w:hint="eastAsia"/>
          <w:spacing w:val="8"/>
          <w:lang w:eastAsia="zh-CN"/>
        </w:rPr>
        <w:t>生化</w:t>
      </w:r>
    </w:p>
    <w:p w14:paraId="1EB8D76C">
      <w:pPr>
        <w:pStyle w:val="2"/>
        <w:spacing w:before="47" w:line="318" w:lineRule="auto"/>
        <w:ind w:right="19"/>
        <w:jc w:val="both"/>
        <w:rPr>
          <w:spacing w:val="8"/>
          <w:lang w:eastAsia="zh-CN"/>
        </w:rPr>
      </w:pPr>
      <w:r>
        <w:rPr>
          <w:rFonts w:hint="eastAsia"/>
          <w:spacing w:val="8"/>
          <w:lang w:eastAsia="zh-CN"/>
        </w:rPr>
        <w:t>二</w:t>
      </w:r>
      <w:r>
        <w:rPr>
          <w:spacing w:val="8"/>
          <w:lang w:eastAsia="zh-CN"/>
        </w:rPr>
        <w:t>、</w:t>
      </w:r>
      <w:r>
        <w:rPr>
          <w:rFonts w:hint="eastAsia"/>
          <w:spacing w:val="8"/>
          <w:lang w:eastAsia="zh-CN"/>
        </w:rPr>
        <w:t>主要研究内容</w:t>
      </w:r>
      <w:r>
        <w:rPr>
          <w:spacing w:val="8"/>
          <w:lang w:eastAsia="zh-CN"/>
        </w:rPr>
        <w:t>：对血浆、尿液、脑脊液、胸腹水等样本类型中临床诊疗所需要的生化项目进行适用性验证，从样本特性、分析性能、临床性能</w:t>
      </w:r>
      <w:r>
        <w:rPr>
          <w:rFonts w:hint="eastAsia"/>
          <w:spacing w:val="8"/>
          <w:lang w:eastAsia="zh-CN"/>
        </w:rPr>
        <w:t>等</w:t>
      </w:r>
      <w:r>
        <w:rPr>
          <w:spacing w:val="8"/>
          <w:lang w:eastAsia="zh-CN"/>
        </w:rPr>
        <w:t>方面进行</w:t>
      </w:r>
      <w:r>
        <w:rPr>
          <w:rFonts w:hint="eastAsia"/>
          <w:spacing w:val="8"/>
          <w:lang w:eastAsia="zh-CN"/>
        </w:rPr>
        <w:t>全面</w:t>
      </w:r>
      <w:r>
        <w:rPr>
          <w:spacing w:val="8"/>
          <w:lang w:eastAsia="zh-CN"/>
        </w:rPr>
        <w:t>评估。计算</w:t>
      </w:r>
      <w:r>
        <w:rPr>
          <w:rFonts w:hint="eastAsia"/>
          <w:spacing w:val="8"/>
          <w:lang w:eastAsia="zh-CN"/>
        </w:rPr>
        <w:t>体液样本生化检测</w:t>
      </w:r>
      <w:r>
        <w:rPr>
          <w:spacing w:val="8"/>
          <w:lang w:eastAsia="zh-CN"/>
        </w:rPr>
        <w:t>参考区间或阳性判断值。</w:t>
      </w:r>
      <w:r>
        <w:rPr>
          <w:rFonts w:hint="eastAsia"/>
          <w:spacing w:val="8"/>
          <w:lang w:eastAsia="zh-CN"/>
        </w:rPr>
        <w:t>建立尿液</w:t>
      </w:r>
      <w:r>
        <w:rPr>
          <w:spacing w:val="8"/>
          <w:lang w:eastAsia="zh-CN"/>
        </w:rPr>
        <w:t>、</w:t>
      </w:r>
      <w:r>
        <w:rPr>
          <w:rFonts w:hint="eastAsia"/>
          <w:spacing w:val="8"/>
          <w:lang w:eastAsia="zh-CN"/>
        </w:rPr>
        <w:t>脑脊液</w:t>
      </w:r>
      <w:r>
        <w:rPr>
          <w:spacing w:val="8"/>
          <w:lang w:eastAsia="zh-CN"/>
        </w:rPr>
        <w:t>、</w:t>
      </w:r>
      <w:r>
        <w:rPr>
          <w:rFonts w:hint="eastAsia"/>
          <w:spacing w:val="8"/>
          <w:lang w:eastAsia="zh-CN"/>
        </w:rPr>
        <w:t>胸腹水在临床</w:t>
      </w:r>
      <w:r>
        <w:rPr>
          <w:spacing w:val="8"/>
          <w:lang w:eastAsia="zh-CN"/>
        </w:rPr>
        <w:t>生化项目</w:t>
      </w:r>
      <w:r>
        <w:rPr>
          <w:rFonts w:hint="eastAsia"/>
          <w:spacing w:val="8"/>
          <w:lang w:eastAsia="zh-CN"/>
        </w:rPr>
        <w:t>检测的标准化流程</w:t>
      </w:r>
      <w:r>
        <w:rPr>
          <w:spacing w:val="8"/>
          <w:lang w:eastAsia="zh-CN"/>
        </w:rPr>
        <w:t>，帮助临床提升诊疗效果和效率。</w:t>
      </w:r>
    </w:p>
    <w:p w14:paraId="20E1321F">
      <w:pPr>
        <w:pStyle w:val="2"/>
        <w:spacing w:before="47" w:line="318" w:lineRule="auto"/>
        <w:ind w:right="19"/>
        <w:jc w:val="both"/>
        <w:rPr>
          <w:spacing w:val="8"/>
          <w:lang w:eastAsia="zh-CN"/>
        </w:rPr>
      </w:pPr>
      <w:r>
        <w:rPr>
          <w:rFonts w:hint="eastAsia"/>
          <w:spacing w:val="8"/>
          <w:lang w:eastAsia="zh-CN"/>
        </w:rPr>
        <w:t>三</w:t>
      </w:r>
      <w:r>
        <w:rPr>
          <w:spacing w:val="8"/>
          <w:lang w:eastAsia="zh-CN"/>
        </w:rPr>
        <w:t>、</w:t>
      </w:r>
      <w:r>
        <w:rPr>
          <w:rFonts w:hint="eastAsia"/>
          <w:spacing w:val="8"/>
          <w:lang w:eastAsia="zh-CN"/>
        </w:rPr>
        <w:t>项目考核指标</w:t>
      </w:r>
      <w:r>
        <w:rPr>
          <w:spacing w:val="8"/>
          <w:lang w:eastAsia="zh-CN"/>
        </w:rPr>
        <w:t>：</w:t>
      </w:r>
      <w:r>
        <w:rPr>
          <w:rFonts w:hint="eastAsia"/>
          <w:spacing w:val="8"/>
          <w:lang w:eastAsia="zh-CN"/>
        </w:rPr>
        <w:t>完成至少</w:t>
      </w:r>
      <w:r>
        <w:rPr>
          <w:spacing w:val="8"/>
          <w:lang w:eastAsia="zh-CN"/>
        </w:rPr>
        <w:t>3</w:t>
      </w:r>
      <w:r>
        <w:rPr>
          <w:rFonts w:hint="eastAsia"/>
          <w:spacing w:val="8"/>
          <w:lang w:eastAsia="zh-CN"/>
        </w:rPr>
        <w:t>种不同类型体液样本的临床生化样本检测数据收集</w:t>
      </w:r>
      <w:r>
        <w:rPr>
          <w:spacing w:val="8"/>
          <w:lang w:eastAsia="zh-CN"/>
        </w:rPr>
        <w:t>，</w:t>
      </w:r>
      <w:r>
        <w:rPr>
          <w:rFonts w:hint="eastAsia"/>
          <w:spacing w:val="8"/>
          <w:lang w:eastAsia="zh-CN"/>
        </w:rPr>
        <w:t>覆盖项目包含</w:t>
      </w:r>
      <w:r>
        <w:rPr>
          <w:spacing w:val="8"/>
          <w:lang w:eastAsia="zh-CN"/>
        </w:rPr>
        <w:t>蛋白质、离子类、糖类、酶类、脂类、胆红素等，</w:t>
      </w:r>
      <w:r>
        <w:rPr>
          <w:rFonts w:hint="eastAsia"/>
          <w:spacing w:val="8"/>
          <w:lang w:eastAsia="zh-CN"/>
        </w:rPr>
        <w:t>并针对临床诊断对</w:t>
      </w:r>
      <w:r>
        <w:rPr>
          <w:spacing w:val="8"/>
          <w:lang w:eastAsia="zh-CN"/>
        </w:rPr>
        <w:t>阳性判断值</w:t>
      </w:r>
      <w:r>
        <w:rPr>
          <w:rFonts w:hint="eastAsia"/>
          <w:spacing w:val="8"/>
          <w:lang w:eastAsia="zh-CN"/>
        </w:rPr>
        <w:t>或临床截断值</w:t>
      </w:r>
      <w:r>
        <w:rPr>
          <w:spacing w:val="8"/>
          <w:lang w:eastAsia="zh-CN"/>
        </w:rPr>
        <w:t>处的灵敏度和特异性</w:t>
      </w:r>
      <w:r>
        <w:rPr>
          <w:rFonts w:hint="eastAsia"/>
          <w:spacing w:val="8"/>
          <w:lang w:eastAsia="zh-CN"/>
        </w:rPr>
        <w:t>、阳性预测值和阴性预测值、kappa值、准确率等指标进行评价</w:t>
      </w:r>
      <w:r>
        <w:rPr>
          <w:spacing w:val="8"/>
          <w:lang w:eastAsia="zh-CN"/>
        </w:rPr>
        <w:t>，</w:t>
      </w:r>
      <w:r>
        <w:rPr>
          <w:rFonts w:hint="eastAsia"/>
          <w:spacing w:val="8"/>
          <w:lang w:eastAsia="zh-CN"/>
        </w:rPr>
        <w:t>生成评估报告</w:t>
      </w:r>
      <w:r>
        <w:rPr>
          <w:spacing w:val="8"/>
          <w:lang w:eastAsia="zh-CN"/>
        </w:rPr>
        <w:t>。</w:t>
      </w:r>
    </w:p>
    <w:p w14:paraId="44054E7D">
      <w:pPr>
        <w:pStyle w:val="2"/>
        <w:spacing w:before="47" w:line="318" w:lineRule="auto"/>
        <w:ind w:right="19"/>
        <w:jc w:val="both"/>
        <w:rPr>
          <w:spacing w:val="8"/>
          <w:lang w:eastAsia="zh-CN"/>
        </w:rPr>
      </w:pPr>
      <w:r>
        <w:rPr>
          <w:rFonts w:hint="eastAsia"/>
          <w:spacing w:val="8"/>
          <w:lang w:eastAsia="zh-CN"/>
        </w:rPr>
        <w:t>四</w:t>
      </w:r>
      <w:r>
        <w:rPr>
          <w:spacing w:val="8"/>
          <w:lang w:eastAsia="zh-CN"/>
        </w:rPr>
        <w:t>、</w:t>
      </w:r>
      <w:r>
        <w:rPr>
          <w:rFonts w:hint="eastAsia"/>
          <w:spacing w:val="8"/>
          <w:lang w:eastAsia="zh-CN"/>
        </w:rPr>
        <w:t>项目实施年限</w:t>
      </w:r>
      <w:r>
        <w:rPr>
          <w:spacing w:val="8"/>
          <w:lang w:eastAsia="zh-CN"/>
        </w:rPr>
        <w:t>：</w:t>
      </w:r>
      <w:r>
        <w:rPr>
          <w:rFonts w:hint="eastAsia"/>
          <w:spacing w:val="8"/>
          <w:lang w:eastAsia="zh-CN"/>
        </w:rPr>
        <w:t>不超过</w:t>
      </w:r>
      <w:r>
        <w:rPr>
          <w:spacing w:val="8"/>
          <w:lang w:eastAsia="zh-CN"/>
        </w:rPr>
        <w:t>2</w:t>
      </w:r>
      <w:r>
        <w:rPr>
          <w:rFonts w:hint="eastAsia"/>
          <w:spacing w:val="8"/>
          <w:lang w:eastAsia="zh-CN"/>
        </w:rPr>
        <w:t>年</w:t>
      </w:r>
    </w:p>
    <w:p w14:paraId="61A29DD3">
      <w:pPr>
        <w:pStyle w:val="2"/>
        <w:spacing w:before="47" w:line="318" w:lineRule="auto"/>
        <w:ind w:right="19"/>
        <w:jc w:val="both"/>
        <w:rPr>
          <w:spacing w:val="8"/>
          <w:lang w:eastAsia="zh-CN"/>
        </w:rPr>
      </w:pPr>
      <w:r>
        <w:rPr>
          <w:rFonts w:hint="eastAsia"/>
          <w:spacing w:val="8"/>
          <w:lang w:eastAsia="zh-CN"/>
        </w:rPr>
        <w:t>五</w:t>
      </w:r>
      <w:r>
        <w:rPr>
          <w:spacing w:val="8"/>
          <w:lang w:eastAsia="zh-CN"/>
        </w:rPr>
        <w:t>、</w:t>
      </w:r>
      <w:r>
        <w:rPr>
          <w:rFonts w:hint="eastAsia"/>
          <w:spacing w:val="8"/>
          <w:lang w:eastAsia="zh-CN"/>
        </w:rPr>
        <w:t>资助金额</w:t>
      </w:r>
      <w:r>
        <w:rPr>
          <w:spacing w:val="8"/>
          <w:lang w:eastAsia="zh-CN"/>
        </w:rPr>
        <w:t>：</w:t>
      </w:r>
      <w:r>
        <w:rPr>
          <w:rFonts w:hint="eastAsia"/>
          <w:spacing w:val="8"/>
          <w:lang w:eastAsia="zh-CN"/>
        </w:rPr>
        <w:t>不超过</w:t>
      </w:r>
      <w:r>
        <w:rPr>
          <w:spacing w:val="8"/>
          <w:lang w:eastAsia="zh-CN"/>
        </w:rPr>
        <w:t>15</w:t>
      </w:r>
      <w:r>
        <w:rPr>
          <w:rFonts w:hint="eastAsia"/>
          <w:spacing w:val="8"/>
          <w:lang w:eastAsia="zh-CN"/>
        </w:rPr>
        <w:t>万元</w:t>
      </w:r>
    </w:p>
    <w:p w14:paraId="6EB425A8">
      <w:pPr>
        <w:spacing w:before="91" w:line="159" w:lineRule="auto"/>
        <w:ind w:right="248"/>
        <w:jc w:val="center"/>
        <w:outlineLvl w:val="0"/>
        <w:rPr>
          <w:rFonts w:ascii="微软雅黑" w:hAnsi="微软雅黑" w:eastAsia="微软雅黑" w:cs="微软雅黑"/>
          <w:spacing w:val="19"/>
          <w:sz w:val="44"/>
          <w:szCs w:val="44"/>
          <w:lang w:eastAsia="zh-CN"/>
        </w:rPr>
      </w:pPr>
    </w:p>
    <w:p w14:paraId="2993536D">
      <w:pPr>
        <w:spacing w:before="91" w:line="159" w:lineRule="auto"/>
        <w:ind w:right="248"/>
        <w:jc w:val="center"/>
        <w:outlineLvl w:val="0"/>
        <w:rPr>
          <w:rFonts w:ascii="微软雅黑" w:hAnsi="微软雅黑" w:eastAsia="微软雅黑" w:cs="微软雅黑"/>
          <w:spacing w:val="19"/>
          <w:sz w:val="44"/>
          <w:szCs w:val="44"/>
          <w:lang w:eastAsia="zh-CN"/>
        </w:rPr>
      </w:pPr>
    </w:p>
    <w:p w14:paraId="085C6D45">
      <w:pPr>
        <w:spacing w:before="91" w:line="159" w:lineRule="auto"/>
        <w:ind w:right="248"/>
        <w:jc w:val="center"/>
        <w:outlineLvl w:val="0"/>
        <w:rPr>
          <w:rFonts w:ascii="微软雅黑" w:hAnsi="微软雅黑" w:eastAsia="微软雅黑" w:cs="微软雅黑"/>
          <w:spacing w:val="19"/>
          <w:sz w:val="44"/>
          <w:szCs w:val="44"/>
          <w:lang w:eastAsia="zh-CN"/>
        </w:rPr>
      </w:pPr>
    </w:p>
    <w:p w14:paraId="7702F975">
      <w:pPr>
        <w:spacing w:before="91" w:line="159" w:lineRule="auto"/>
        <w:ind w:right="248"/>
        <w:jc w:val="center"/>
        <w:outlineLvl w:val="0"/>
        <w:rPr>
          <w:rFonts w:ascii="微软雅黑" w:hAnsi="微软雅黑" w:eastAsia="微软雅黑" w:cs="微软雅黑"/>
          <w:spacing w:val="19"/>
          <w:sz w:val="44"/>
          <w:szCs w:val="44"/>
          <w:lang w:eastAsia="zh-CN"/>
        </w:rPr>
      </w:pPr>
    </w:p>
    <w:p w14:paraId="368735BB">
      <w:pPr>
        <w:spacing w:before="91" w:line="159" w:lineRule="auto"/>
        <w:ind w:right="248"/>
        <w:jc w:val="center"/>
        <w:outlineLvl w:val="0"/>
        <w:rPr>
          <w:rFonts w:ascii="微软雅黑" w:hAnsi="微软雅黑" w:eastAsia="微软雅黑" w:cs="微软雅黑"/>
          <w:spacing w:val="19"/>
          <w:sz w:val="44"/>
          <w:szCs w:val="44"/>
          <w:lang w:eastAsia="zh-CN"/>
        </w:rPr>
      </w:pPr>
    </w:p>
    <w:p w14:paraId="12475BCD">
      <w:pPr>
        <w:spacing w:before="91" w:line="159" w:lineRule="auto"/>
        <w:ind w:right="248"/>
        <w:jc w:val="center"/>
        <w:outlineLvl w:val="0"/>
        <w:rPr>
          <w:rFonts w:ascii="微软雅黑" w:hAnsi="微软雅黑" w:eastAsia="微软雅黑" w:cs="微软雅黑"/>
          <w:spacing w:val="19"/>
          <w:sz w:val="44"/>
          <w:szCs w:val="44"/>
          <w:lang w:eastAsia="zh-CN"/>
        </w:rPr>
      </w:pPr>
    </w:p>
    <w:p w14:paraId="7E2286CE">
      <w:pPr>
        <w:spacing w:before="91" w:line="159" w:lineRule="auto"/>
        <w:ind w:right="248"/>
        <w:jc w:val="center"/>
        <w:outlineLvl w:val="0"/>
        <w:rPr>
          <w:rFonts w:ascii="宋体" w:hAnsi="宋体" w:eastAsia="宋体" w:cs="Times New Roman"/>
          <w:snapToGrid/>
          <w:color w:val="auto"/>
          <w:kern w:val="2"/>
          <w:sz w:val="24"/>
          <w:szCs w:val="24"/>
          <w:lang w:eastAsia="zh-CN"/>
        </w:rPr>
      </w:pPr>
    </w:p>
    <w:p w14:paraId="0417E34E">
      <w:pPr>
        <w:pStyle w:val="2"/>
        <w:spacing w:before="47" w:line="318" w:lineRule="auto"/>
        <w:ind w:right="19"/>
        <w:jc w:val="center"/>
        <w:rPr>
          <w:rFonts w:hint="eastAsia"/>
          <w:b/>
          <w:bCs/>
          <w:spacing w:val="8"/>
          <w:sz w:val="36"/>
          <w:szCs w:val="36"/>
          <w:lang w:eastAsia="zh-CN"/>
        </w:rPr>
      </w:pPr>
      <w:r>
        <w:rPr>
          <w:rFonts w:hint="eastAsia"/>
          <w:b/>
          <w:bCs/>
          <w:spacing w:val="8"/>
          <w:sz w:val="36"/>
          <w:szCs w:val="36"/>
          <w:lang w:eastAsia="zh-CN"/>
        </w:rPr>
        <w:t>创202412008 直肠癌发病风险模型的构建及验证</w:t>
      </w:r>
    </w:p>
    <w:p w14:paraId="284F636A">
      <w:pPr>
        <w:pStyle w:val="2"/>
        <w:spacing w:before="47" w:line="318" w:lineRule="auto"/>
        <w:ind w:right="19"/>
        <w:jc w:val="both"/>
        <w:rPr>
          <w:rFonts w:hint="eastAsia"/>
          <w:b/>
          <w:bCs/>
          <w:spacing w:val="8"/>
          <w:sz w:val="36"/>
          <w:szCs w:val="36"/>
          <w:lang w:eastAsia="zh-CN"/>
        </w:rPr>
      </w:pPr>
    </w:p>
    <w:p w14:paraId="77D85370">
      <w:pPr>
        <w:pStyle w:val="2"/>
        <w:spacing w:before="47" w:line="318" w:lineRule="auto"/>
        <w:ind w:right="19"/>
        <w:jc w:val="both"/>
        <w:rPr>
          <w:rFonts w:hint="eastAsia"/>
          <w:spacing w:val="8"/>
          <w:lang w:eastAsia="zh-CN"/>
        </w:rPr>
      </w:pPr>
      <w:r>
        <w:rPr>
          <w:rFonts w:hint="eastAsia"/>
          <w:spacing w:val="8"/>
          <w:lang w:eastAsia="zh-CN"/>
        </w:rPr>
        <w:t>一、领域</w:t>
      </w:r>
      <w:r>
        <w:rPr>
          <w:spacing w:val="8"/>
          <w:lang w:eastAsia="zh-CN"/>
        </w:rPr>
        <w:t>：</w:t>
      </w:r>
      <w:r>
        <w:rPr>
          <w:rFonts w:hint="eastAsia"/>
          <w:spacing w:val="8"/>
          <w:lang w:eastAsia="zh-CN"/>
        </w:rPr>
        <w:t>结直肠癌、模型构建</w:t>
      </w:r>
    </w:p>
    <w:p w14:paraId="69340991">
      <w:pPr>
        <w:pStyle w:val="2"/>
        <w:spacing w:before="47" w:line="318" w:lineRule="auto"/>
        <w:ind w:right="19"/>
        <w:jc w:val="both"/>
        <w:rPr>
          <w:spacing w:val="8"/>
          <w:lang w:eastAsia="zh-CN"/>
        </w:rPr>
      </w:pPr>
      <w:r>
        <w:rPr>
          <w:rFonts w:hint="eastAsia"/>
          <w:spacing w:val="8"/>
          <w:lang w:eastAsia="zh-CN"/>
        </w:rPr>
        <w:t>二</w:t>
      </w:r>
      <w:r>
        <w:rPr>
          <w:spacing w:val="8"/>
          <w:lang w:eastAsia="zh-CN"/>
        </w:rPr>
        <w:t>、</w:t>
      </w:r>
      <w:r>
        <w:rPr>
          <w:rFonts w:hint="eastAsia"/>
          <w:spacing w:val="8"/>
          <w:lang w:eastAsia="zh-CN"/>
        </w:rPr>
        <w:t>主要研究内容</w:t>
      </w:r>
      <w:r>
        <w:rPr>
          <w:spacing w:val="8"/>
          <w:lang w:eastAsia="zh-CN"/>
        </w:rPr>
        <w:t>：</w:t>
      </w:r>
    </w:p>
    <w:p w14:paraId="54D881EF">
      <w:pPr>
        <w:pStyle w:val="2"/>
        <w:spacing w:before="47" w:line="318" w:lineRule="auto"/>
        <w:ind w:right="19" w:firstLine="652" w:firstLineChars="200"/>
        <w:jc w:val="both"/>
        <w:rPr>
          <w:rFonts w:hint="eastAsia"/>
          <w:spacing w:val="8"/>
          <w:lang w:eastAsia="zh-CN"/>
        </w:rPr>
      </w:pPr>
      <w:r>
        <w:rPr>
          <w:rFonts w:hint="eastAsia"/>
          <w:spacing w:val="8"/>
          <w:lang w:eastAsia="zh-CN"/>
        </w:rPr>
        <w:t>1.基于UPLC-Q-TOF-MS的CRC血清代谢指纹谱的构建</w:t>
      </w:r>
    </w:p>
    <w:p w14:paraId="4E6E4548">
      <w:pPr>
        <w:pStyle w:val="2"/>
        <w:spacing w:before="47" w:line="318" w:lineRule="auto"/>
        <w:ind w:right="19" w:firstLine="652" w:firstLineChars="200"/>
        <w:jc w:val="both"/>
        <w:rPr>
          <w:rFonts w:hint="eastAsia"/>
          <w:spacing w:val="8"/>
          <w:lang w:eastAsia="zh-CN"/>
        </w:rPr>
      </w:pPr>
      <w:r>
        <w:rPr>
          <w:rFonts w:hint="eastAsia"/>
          <w:spacing w:val="8"/>
          <w:lang w:eastAsia="zh-CN"/>
        </w:rPr>
        <w:t>2.基于Logistic回归分析筛选CRC相关危险因素</w:t>
      </w:r>
    </w:p>
    <w:p w14:paraId="75A1769E">
      <w:pPr>
        <w:pStyle w:val="2"/>
        <w:spacing w:before="47" w:line="318" w:lineRule="auto"/>
        <w:ind w:right="19" w:firstLine="652" w:firstLineChars="200"/>
        <w:jc w:val="both"/>
        <w:rPr>
          <w:rFonts w:hint="eastAsia"/>
          <w:spacing w:val="8"/>
          <w:lang w:eastAsia="zh-CN"/>
        </w:rPr>
      </w:pPr>
      <w:r>
        <w:rPr>
          <w:rFonts w:hint="eastAsia"/>
          <w:spacing w:val="8"/>
          <w:lang w:eastAsia="zh-CN"/>
        </w:rPr>
        <w:t>3.基于代谢指纹谱及相关危险因素的CRC发病风险模型的构建及外部验证</w:t>
      </w:r>
    </w:p>
    <w:p w14:paraId="254344F5">
      <w:pPr>
        <w:pStyle w:val="2"/>
        <w:spacing w:before="47" w:line="318" w:lineRule="auto"/>
        <w:ind w:right="19"/>
        <w:jc w:val="both"/>
        <w:rPr>
          <w:rFonts w:hint="eastAsia"/>
          <w:spacing w:val="8"/>
          <w:lang w:eastAsia="zh-CN"/>
        </w:rPr>
      </w:pPr>
      <w:r>
        <w:rPr>
          <w:rFonts w:hint="eastAsia"/>
          <w:spacing w:val="8"/>
          <w:lang w:eastAsia="zh-CN"/>
        </w:rPr>
        <w:t>三、项目考核指标（项目执行期内）</w:t>
      </w:r>
    </w:p>
    <w:p w14:paraId="25906E64">
      <w:pPr>
        <w:pStyle w:val="2"/>
        <w:spacing w:before="47" w:line="318" w:lineRule="auto"/>
        <w:ind w:right="19" w:firstLine="652" w:firstLineChars="200"/>
        <w:jc w:val="both"/>
        <w:rPr>
          <w:rFonts w:hint="eastAsia"/>
          <w:spacing w:val="8"/>
          <w:lang w:eastAsia="zh-CN"/>
        </w:rPr>
      </w:pPr>
      <w:r>
        <w:rPr>
          <w:spacing w:val="8"/>
          <w:lang w:eastAsia="zh-CN"/>
        </w:rPr>
        <w:t>1</w:t>
      </w:r>
      <w:r>
        <w:rPr>
          <w:rFonts w:hint="eastAsia"/>
          <w:spacing w:val="8"/>
          <w:lang w:eastAsia="zh-CN"/>
        </w:rPr>
        <w:t>.采用机器学习算法构建代谢指纹谱和临床因素以及单独临床因素的6的算法模型，通过筛选中心的验证数据集进行验证、评价，优选最佳的风险预测模型。</w:t>
      </w:r>
    </w:p>
    <w:p w14:paraId="0E5157AD">
      <w:pPr>
        <w:pStyle w:val="2"/>
        <w:spacing w:before="47" w:line="318" w:lineRule="auto"/>
        <w:ind w:right="19" w:firstLine="652" w:firstLineChars="200"/>
        <w:jc w:val="both"/>
        <w:rPr>
          <w:rFonts w:hint="eastAsia"/>
          <w:spacing w:val="8"/>
          <w:lang w:eastAsia="zh-CN"/>
        </w:rPr>
      </w:pPr>
      <w:r>
        <w:rPr>
          <w:spacing w:val="8"/>
          <w:lang w:eastAsia="zh-CN"/>
        </w:rPr>
        <w:t>2</w:t>
      </w:r>
      <w:r>
        <w:rPr>
          <w:rFonts w:hint="eastAsia"/>
          <w:spacing w:val="8"/>
          <w:lang w:eastAsia="zh-CN"/>
        </w:rPr>
        <w:t>.培养科室学术骨干1–2名；</w:t>
      </w:r>
    </w:p>
    <w:p w14:paraId="41FE0864">
      <w:pPr>
        <w:pStyle w:val="2"/>
        <w:spacing w:before="47" w:line="318" w:lineRule="auto"/>
        <w:ind w:right="19" w:firstLine="652" w:firstLineChars="200"/>
        <w:jc w:val="both"/>
        <w:rPr>
          <w:rFonts w:hint="eastAsia"/>
          <w:spacing w:val="8"/>
          <w:lang w:eastAsia="zh-CN"/>
        </w:rPr>
      </w:pPr>
      <w:r>
        <w:rPr>
          <w:spacing w:val="8"/>
          <w:lang w:eastAsia="zh-CN"/>
        </w:rPr>
        <w:t>3</w:t>
      </w:r>
      <w:r>
        <w:rPr>
          <w:rFonts w:hint="eastAsia"/>
          <w:spacing w:val="8"/>
          <w:lang w:eastAsia="zh-CN"/>
        </w:rPr>
        <w:t>.培养研究生1-2名。</w:t>
      </w:r>
    </w:p>
    <w:p w14:paraId="11791B69">
      <w:pPr>
        <w:pStyle w:val="2"/>
        <w:spacing w:before="47" w:line="318" w:lineRule="auto"/>
        <w:ind w:right="19" w:firstLine="652" w:firstLineChars="200"/>
        <w:jc w:val="both"/>
        <w:rPr>
          <w:rFonts w:hint="eastAsia"/>
          <w:spacing w:val="8"/>
          <w:lang w:eastAsia="zh-CN"/>
        </w:rPr>
      </w:pPr>
      <w:r>
        <w:rPr>
          <w:spacing w:val="8"/>
          <w:lang w:eastAsia="zh-CN"/>
        </w:rPr>
        <w:t>4</w:t>
      </w:r>
      <w:r>
        <w:rPr>
          <w:rFonts w:hint="eastAsia"/>
          <w:spacing w:val="8"/>
          <w:lang w:eastAsia="zh-CN"/>
        </w:rPr>
        <w:t>.参加学术交流2-3次。</w:t>
      </w:r>
    </w:p>
    <w:p w14:paraId="0E60A7E7">
      <w:pPr>
        <w:pStyle w:val="2"/>
        <w:spacing w:before="47" w:line="318" w:lineRule="auto"/>
        <w:ind w:right="19" w:firstLine="652" w:firstLineChars="200"/>
        <w:jc w:val="both"/>
        <w:rPr>
          <w:rFonts w:hint="eastAsia"/>
          <w:spacing w:val="8"/>
          <w:lang w:eastAsia="zh-CN"/>
        </w:rPr>
      </w:pPr>
      <w:r>
        <w:rPr>
          <w:spacing w:val="8"/>
          <w:lang w:eastAsia="zh-CN"/>
        </w:rPr>
        <w:t>5</w:t>
      </w:r>
      <w:r>
        <w:rPr>
          <w:rFonts w:hint="eastAsia"/>
          <w:spacing w:val="8"/>
          <w:lang w:eastAsia="zh-CN"/>
        </w:rPr>
        <w:t>.在本领域高水平期刊发表论文1-2篇；。</w:t>
      </w:r>
    </w:p>
    <w:p w14:paraId="1E40ED87">
      <w:pPr>
        <w:pStyle w:val="2"/>
        <w:spacing w:before="47" w:line="318" w:lineRule="auto"/>
        <w:ind w:right="19"/>
        <w:jc w:val="both"/>
        <w:rPr>
          <w:rFonts w:hint="eastAsia"/>
          <w:spacing w:val="8"/>
          <w:lang w:eastAsia="zh-CN"/>
        </w:rPr>
      </w:pPr>
      <w:r>
        <w:rPr>
          <w:rFonts w:hint="eastAsia"/>
          <w:spacing w:val="8"/>
          <w:lang w:eastAsia="zh-CN"/>
        </w:rPr>
        <w:t>四、项目实施年限：不超过2年</w:t>
      </w:r>
    </w:p>
    <w:p w14:paraId="242162A8">
      <w:pPr>
        <w:pStyle w:val="2"/>
        <w:spacing w:before="47" w:line="318" w:lineRule="auto"/>
        <w:ind w:right="19"/>
        <w:jc w:val="both"/>
        <w:rPr>
          <w:spacing w:val="8"/>
          <w:lang w:eastAsia="zh-CN"/>
        </w:rPr>
      </w:pPr>
      <w:r>
        <w:rPr>
          <w:rFonts w:hint="eastAsia"/>
          <w:spacing w:val="8"/>
          <w:lang w:eastAsia="zh-CN"/>
        </w:rPr>
        <w:t>五、资助金额：不超过15万元</w:t>
      </w:r>
    </w:p>
    <w:p w14:paraId="1AA221A5">
      <w:pPr>
        <w:pStyle w:val="2"/>
        <w:spacing w:before="47" w:line="318" w:lineRule="auto"/>
        <w:ind w:right="19"/>
        <w:jc w:val="both"/>
        <w:rPr>
          <w:spacing w:val="8"/>
          <w:lang w:eastAsia="zh-CN"/>
        </w:rPr>
      </w:pPr>
    </w:p>
    <w:p w14:paraId="715852FC">
      <w:pPr>
        <w:pStyle w:val="2"/>
        <w:spacing w:before="47" w:line="318" w:lineRule="auto"/>
        <w:ind w:right="19"/>
        <w:jc w:val="both"/>
        <w:rPr>
          <w:spacing w:val="8"/>
          <w:lang w:eastAsia="zh-CN"/>
        </w:rPr>
      </w:pPr>
    </w:p>
    <w:p w14:paraId="78FEB12B">
      <w:pPr>
        <w:pStyle w:val="2"/>
        <w:spacing w:before="47" w:line="318" w:lineRule="auto"/>
        <w:ind w:right="19"/>
        <w:jc w:val="both"/>
        <w:rPr>
          <w:spacing w:val="8"/>
          <w:lang w:eastAsia="zh-CN"/>
        </w:rPr>
      </w:pPr>
    </w:p>
    <w:p w14:paraId="30C46B8E">
      <w:pPr>
        <w:pStyle w:val="2"/>
        <w:spacing w:before="47" w:line="318" w:lineRule="auto"/>
        <w:ind w:right="19"/>
        <w:jc w:val="both"/>
        <w:rPr>
          <w:spacing w:val="8"/>
          <w:lang w:eastAsia="zh-CN"/>
        </w:rPr>
      </w:pPr>
    </w:p>
    <w:p w14:paraId="7FFCD84E">
      <w:pPr>
        <w:pStyle w:val="2"/>
        <w:spacing w:before="47" w:line="318" w:lineRule="auto"/>
        <w:ind w:right="19"/>
        <w:jc w:val="both"/>
        <w:rPr>
          <w:spacing w:val="8"/>
          <w:lang w:eastAsia="zh-CN"/>
        </w:rPr>
      </w:pPr>
    </w:p>
    <w:p w14:paraId="1420E62C">
      <w:pPr>
        <w:pStyle w:val="2"/>
        <w:spacing w:before="47" w:line="318" w:lineRule="auto"/>
        <w:ind w:right="19"/>
        <w:jc w:val="center"/>
        <w:rPr>
          <w:rFonts w:hint="eastAsia"/>
          <w:b/>
          <w:bCs/>
          <w:spacing w:val="8"/>
          <w:sz w:val="36"/>
          <w:szCs w:val="36"/>
          <w:lang w:eastAsia="zh-CN"/>
        </w:rPr>
      </w:pPr>
      <w:r>
        <w:rPr>
          <w:rFonts w:hint="eastAsia"/>
          <w:b/>
          <w:bCs/>
          <w:spacing w:val="8"/>
          <w:sz w:val="36"/>
          <w:szCs w:val="36"/>
          <w:lang w:eastAsia="zh-CN"/>
        </w:rPr>
        <w:t>创2</w:t>
      </w:r>
      <w:r>
        <w:rPr>
          <w:b/>
          <w:bCs/>
          <w:spacing w:val="8"/>
          <w:sz w:val="36"/>
          <w:szCs w:val="36"/>
          <w:lang w:eastAsia="zh-CN"/>
        </w:rPr>
        <w:t xml:space="preserve">02412009 </w:t>
      </w:r>
      <w:r>
        <w:rPr>
          <w:rFonts w:hint="eastAsia"/>
          <w:b/>
          <w:bCs/>
          <w:spacing w:val="8"/>
          <w:sz w:val="36"/>
          <w:szCs w:val="36"/>
          <w:lang w:eastAsia="zh-CN"/>
        </w:rPr>
        <w:t>血液系统疾病及感染性疾病筛查诊断</w:t>
      </w:r>
    </w:p>
    <w:p w14:paraId="0552CD95">
      <w:pPr>
        <w:pStyle w:val="2"/>
        <w:spacing w:before="47" w:line="318" w:lineRule="auto"/>
        <w:ind w:right="19"/>
        <w:jc w:val="center"/>
        <w:rPr>
          <w:rFonts w:hint="eastAsia"/>
          <w:b/>
          <w:bCs/>
          <w:spacing w:val="8"/>
          <w:sz w:val="36"/>
          <w:szCs w:val="36"/>
          <w:lang w:eastAsia="zh-CN"/>
        </w:rPr>
      </w:pPr>
    </w:p>
    <w:p w14:paraId="5779EE20">
      <w:pPr>
        <w:pStyle w:val="2"/>
        <w:spacing w:before="47" w:line="318" w:lineRule="auto"/>
        <w:ind w:right="19"/>
        <w:jc w:val="both"/>
        <w:rPr>
          <w:spacing w:val="8"/>
          <w:lang w:eastAsia="zh-CN"/>
        </w:rPr>
      </w:pPr>
      <w:r>
        <w:rPr>
          <w:rFonts w:hint="eastAsia"/>
          <w:spacing w:val="8"/>
          <w:lang w:eastAsia="zh-CN"/>
        </w:rPr>
        <w:t>一、领域：血细胞、感染、AI</w:t>
      </w:r>
    </w:p>
    <w:p w14:paraId="71D184BF">
      <w:pPr>
        <w:pStyle w:val="2"/>
        <w:spacing w:before="47" w:line="318" w:lineRule="auto"/>
        <w:ind w:right="19"/>
        <w:jc w:val="both"/>
        <w:rPr>
          <w:rFonts w:hint="eastAsia"/>
          <w:spacing w:val="8"/>
          <w:lang w:eastAsia="zh-CN"/>
        </w:rPr>
      </w:pPr>
      <w:r>
        <w:rPr>
          <w:rFonts w:hint="eastAsia"/>
          <w:spacing w:val="8"/>
          <w:lang w:eastAsia="zh-CN"/>
        </w:rPr>
        <w:t>二、主要研究内容：通过AI外周血细胞形态学技术，结合血常规研究参数指标建立和验证早期血液系统疾病、感染性疾病复检规则，并通过机器学习构建在早期血液系统疾病、感染性疾病患者的诊断模型，为高效筛检血液系统、感染性疾病的高危人群，为临床早期进行干预、治疗提供数据支持。</w:t>
      </w:r>
    </w:p>
    <w:p w14:paraId="57ED384A">
      <w:pPr>
        <w:pStyle w:val="2"/>
        <w:spacing w:before="47" w:line="318" w:lineRule="auto"/>
        <w:ind w:right="19"/>
        <w:jc w:val="both"/>
        <w:rPr>
          <w:rFonts w:hint="eastAsia"/>
          <w:spacing w:val="8"/>
          <w:lang w:eastAsia="zh-CN"/>
        </w:rPr>
      </w:pPr>
      <w:r>
        <w:rPr>
          <w:rFonts w:hint="eastAsia"/>
          <w:spacing w:val="8"/>
          <w:lang w:eastAsia="zh-CN"/>
        </w:rPr>
        <w:t>三、项目考核指标（项目执行期内）</w:t>
      </w:r>
    </w:p>
    <w:p w14:paraId="63546346">
      <w:pPr>
        <w:pStyle w:val="2"/>
        <w:spacing w:before="47" w:line="318" w:lineRule="auto"/>
        <w:ind w:right="19" w:firstLine="652" w:firstLineChars="200"/>
        <w:jc w:val="both"/>
        <w:rPr>
          <w:rFonts w:hint="eastAsia"/>
          <w:spacing w:val="8"/>
          <w:lang w:eastAsia="zh-CN"/>
        </w:rPr>
      </w:pPr>
      <w:r>
        <w:rPr>
          <w:spacing w:val="8"/>
          <w:lang w:eastAsia="zh-CN"/>
        </w:rPr>
        <w:t>1</w:t>
      </w:r>
      <w:r>
        <w:rPr>
          <w:rFonts w:hint="eastAsia"/>
          <w:spacing w:val="8"/>
          <w:lang w:eastAsia="zh-CN"/>
        </w:rPr>
        <w:t>.构建外周血细胞图像数据库。</w:t>
      </w:r>
    </w:p>
    <w:p w14:paraId="75BD61B1">
      <w:pPr>
        <w:pStyle w:val="2"/>
        <w:spacing w:before="47" w:line="318" w:lineRule="auto"/>
        <w:ind w:right="19" w:firstLine="652" w:firstLineChars="200"/>
        <w:jc w:val="both"/>
        <w:rPr>
          <w:rFonts w:hint="eastAsia"/>
          <w:spacing w:val="8"/>
          <w:lang w:eastAsia="zh-CN"/>
        </w:rPr>
      </w:pPr>
      <w:r>
        <w:rPr>
          <w:rFonts w:hint="eastAsia"/>
          <w:spacing w:val="8"/>
          <w:lang w:eastAsia="zh-CN"/>
        </w:rPr>
        <w:t xml:space="preserve">2.AI分析系统评价方法，开发一套AI分析系统预分类与人工审核结果比对的流程。利用统计学软件，通过绘制混淆矩阵来评估AI分析系统的性能。  </w:t>
      </w:r>
    </w:p>
    <w:p w14:paraId="2C4377B0">
      <w:pPr>
        <w:pStyle w:val="2"/>
        <w:spacing w:before="47" w:line="318" w:lineRule="auto"/>
        <w:ind w:right="19" w:firstLine="652" w:firstLineChars="200"/>
        <w:jc w:val="both"/>
        <w:rPr>
          <w:rFonts w:hint="eastAsia"/>
          <w:spacing w:val="8"/>
          <w:lang w:eastAsia="zh-CN"/>
        </w:rPr>
      </w:pPr>
      <w:r>
        <w:rPr>
          <w:rFonts w:hint="eastAsia"/>
          <w:spacing w:val="8"/>
          <w:lang w:eastAsia="zh-CN"/>
        </w:rPr>
        <w:t xml:space="preserve">3.应用AI分析系统对外周血有核细胞进行预分类计数，并与人工审核结果进行对比分析。评估AI系统在原始细胞分类计数结果与手工镜检分类结果之间的一致性和差异性。 </w:t>
      </w:r>
    </w:p>
    <w:p w14:paraId="33FA2D3D">
      <w:pPr>
        <w:pStyle w:val="2"/>
        <w:spacing w:before="47" w:line="318" w:lineRule="auto"/>
        <w:ind w:right="19" w:firstLine="652" w:firstLineChars="200"/>
        <w:jc w:val="both"/>
        <w:rPr>
          <w:rFonts w:hint="eastAsia"/>
          <w:spacing w:val="8"/>
          <w:lang w:eastAsia="zh-CN"/>
        </w:rPr>
      </w:pPr>
      <w:r>
        <w:rPr>
          <w:rFonts w:hint="eastAsia"/>
          <w:spacing w:val="8"/>
          <w:lang w:eastAsia="zh-CN"/>
        </w:rPr>
        <w:t>4.血常规相关研究参数特征指标的选取与ACP算法模型的纳入。</w:t>
      </w:r>
    </w:p>
    <w:p w14:paraId="708191A8">
      <w:pPr>
        <w:pStyle w:val="2"/>
        <w:spacing w:before="47" w:line="318" w:lineRule="auto"/>
        <w:ind w:right="19"/>
        <w:jc w:val="both"/>
        <w:rPr>
          <w:rFonts w:hint="eastAsia"/>
          <w:spacing w:val="8"/>
          <w:lang w:eastAsia="zh-CN"/>
        </w:rPr>
      </w:pPr>
      <w:r>
        <w:rPr>
          <w:rFonts w:hint="eastAsia"/>
          <w:spacing w:val="8"/>
          <w:lang w:eastAsia="zh-CN"/>
        </w:rPr>
        <w:t>四、项目实施年限：不超过2年</w:t>
      </w:r>
    </w:p>
    <w:p w14:paraId="1F4CB2A3">
      <w:pPr>
        <w:pStyle w:val="2"/>
        <w:spacing w:before="47" w:line="318" w:lineRule="auto"/>
        <w:ind w:right="19"/>
        <w:jc w:val="both"/>
        <w:rPr>
          <w:spacing w:val="8"/>
          <w:lang w:eastAsia="zh-CN"/>
        </w:rPr>
      </w:pPr>
      <w:r>
        <w:rPr>
          <w:rFonts w:hint="eastAsia"/>
          <w:spacing w:val="8"/>
          <w:lang w:eastAsia="zh-CN"/>
        </w:rPr>
        <w:t>五、资助金额：不超过10万元</w:t>
      </w:r>
    </w:p>
    <w:p w14:paraId="3426F834">
      <w:pPr>
        <w:spacing w:before="91" w:line="159" w:lineRule="auto"/>
        <w:ind w:right="248"/>
        <w:jc w:val="center"/>
        <w:outlineLvl w:val="0"/>
        <w:rPr>
          <w:rFonts w:ascii="微软雅黑" w:hAnsi="微软雅黑" w:eastAsia="微软雅黑" w:cs="微软雅黑"/>
          <w:spacing w:val="19"/>
          <w:sz w:val="44"/>
          <w:szCs w:val="44"/>
          <w:lang w:eastAsia="zh-CN"/>
        </w:rPr>
      </w:pPr>
    </w:p>
    <w:p w14:paraId="14CFF6A1">
      <w:pPr>
        <w:spacing w:before="91" w:line="159" w:lineRule="auto"/>
        <w:ind w:right="248"/>
        <w:outlineLvl w:val="0"/>
        <w:rPr>
          <w:rFonts w:hint="eastAsia" w:ascii="微软雅黑" w:hAnsi="微软雅黑" w:eastAsia="微软雅黑" w:cs="微软雅黑"/>
          <w:spacing w:val="19"/>
          <w:sz w:val="44"/>
          <w:szCs w:val="44"/>
          <w:lang w:eastAsia="zh-CN"/>
        </w:rPr>
      </w:pPr>
    </w:p>
    <w:p w14:paraId="0BB000E1">
      <w:pPr>
        <w:pStyle w:val="2"/>
        <w:spacing w:before="47" w:line="318" w:lineRule="auto"/>
        <w:ind w:right="19"/>
        <w:jc w:val="center"/>
        <w:rPr>
          <w:rFonts w:hint="eastAsia"/>
          <w:b/>
          <w:bCs/>
          <w:spacing w:val="8"/>
          <w:sz w:val="36"/>
          <w:szCs w:val="36"/>
          <w:lang w:eastAsia="zh-CN"/>
        </w:rPr>
      </w:pPr>
      <w:r>
        <w:rPr>
          <w:rFonts w:hint="eastAsia"/>
          <w:b/>
          <w:bCs/>
          <w:spacing w:val="8"/>
          <w:sz w:val="36"/>
          <w:szCs w:val="36"/>
          <w:lang w:eastAsia="zh-CN"/>
        </w:rPr>
        <w:t>创202412010 脓毒症的早期识别和预后模型</w:t>
      </w:r>
    </w:p>
    <w:p w14:paraId="4C5D31BE">
      <w:pPr>
        <w:pStyle w:val="2"/>
        <w:spacing w:before="47" w:line="318" w:lineRule="auto"/>
        <w:ind w:right="19"/>
        <w:jc w:val="center"/>
        <w:rPr>
          <w:rFonts w:hint="eastAsia"/>
          <w:b/>
          <w:bCs/>
          <w:spacing w:val="8"/>
          <w:sz w:val="36"/>
          <w:szCs w:val="36"/>
          <w:lang w:eastAsia="zh-CN"/>
        </w:rPr>
      </w:pPr>
    </w:p>
    <w:p w14:paraId="119F6C00">
      <w:pPr>
        <w:pStyle w:val="2"/>
        <w:spacing w:before="47" w:line="318" w:lineRule="auto"/>
        <w:ind w:right="19"/>
        <w:jc w:val="both"/>
        <w:rPr>
          <w:spacing w:val="8"/>
          <w:lang w:eastAsia="zh-CN"/>
        </w:rPr>
      </w:pPr>
      <w:r>
        <w:rPr>
          <w:rFonts w:hint="eastAsia"/>
          <w:spacing w:val="8"/>
          <w:lang w:eastAsia="zh-CN"/>
        </w:rPr>
        <w:t>一、领域:脓毒症、蛋白组、机器学习</w:t>
      </w:r>
    </w:p>
    <w:p w14:paraId="15BE3118">
      <w:pPr>
        <w:pStyle w:val="2"/>
        <w:spacing w:before="47" w:line="318" w:lineRule="auto"/>
        <w:ind w:right="19"/>
        <w:jc w:val="both"/>
        <w:rPr>
          <w:spacing w:val="8"/>
          <w:lang w:eastAsia="zh-CN"/>
        </w:rPr>
      </w:pPr>
      <w:r>
        <w:rPr>
          <w:rFonts w:hint="eastAsia"/>
          <w:spacing w:val="8"/>
          <w:lang w:eastAsia="zh-CN"/>
        </w:rPr>
        <w:t>二、主要研究内容：</w:t>
      </w:r>
    </w:p>
    <w:p w14:paraId="2583E6A8">
      <w:pPr>
        <w:pStyle w:val="2"/>
        <w:spacing w:before="47" w:line="318" w:lineRule="auto"/>
        <w:ind w:right="19" w:firstLine="652" w:firstLineChars="200"/>
        <w:jc w:val="both"/>
        <w:rPr>
          <w:rFonts w:hint="eastAsia"/>
          <w:spacing w:val="8"/>
          <w:lang w:eastAsia="zh-CN"/>
        </w:rPr>
      </w:pPr>
      <w:r>
        <w:rPr>
          <w:rFonts w:hint="eastAsia"/>
          <w:spacing w:val="8"/>
          <w:lang w:eastAsia="zh-CN"/>
        </w:rPr>
        <w:t xml:space="preserve">1.对疑似脓毒症患者，采用高通量技术进行蛋白质组学检测，按照随访临床诊断脓毒症或非脓毒症分组，筛选差异蛋白质。 </w:t>
      </w:r>
    </w:p>
    <w:p w14:paraId="034917B5">
      <w:pPr>
        <w:pStyle w:val="2"/>
        <w:spacing w:before="47" w:line="318" w:lineRule="auto"/>
        <w:ind w:right="19" w:firstLine="652" w:firstLineChars="200"/>
        <w:jc w:val="both"/>
        <w:rPr>
          <w:rFonts w:hint="eastAsia"/>
          <w:spacing w:val="8"/>
          <w:lang w:eastAsia="zh-CN"/>
        </w:rPr>
      </w:pPr>
      <w:r>
        <w:rPr>
          <w:rFonts w:hint="eastAsia"/>
          <w:spacing w:val="8"/>
          <w:lang w:eastAsia="zh-CN"/>
        </w:rPr>
        <w:t>2.对所有入组疑似脓毒症患者，随访确认临床诊断脓毒症或非脓毒症，然后采用机器学习算法，联合新筛选差异蛋白和传统生物标记物，构建脓毒症发生早期预警模型，评估新标记物预警脓毒症患者的临床价值。</w:t>
      </w:r>
    </w:p>
    <w:p w14:paraId="15DDCD56">
      <w:pPr>
        <w:pStyle w:val="2"/>
        <w:spacing w:before="47" w:line="318" w:lineRule="auto"/>
        <w:ind w:right="19" w:firstLine="652" w:firstLineChars="200"/>
        <w:jc w:val="both"/>
        <w:rPr>
          <w:rFonts w:hint="eastAsia"/>
          <w:spacing w:val="8"/>
          <w:lang w:eastAsia="zh-CN"/>
        </w:rPr>
      </w:pPr>
      <w:r>
        <w:rPr>
          <w:rFonts w:hint="eastAsia"/>
          <w:spacing w:val="8"/>
          <w:lang w:eastAsia="zh-CN"/>
        </w:rPr>
        <w:t>3.随访全部入组脓毒症患者，采用机器学习算法，将新筛选的差异标记物单独或联合传统生物标记物构建新的预后模型，为预测脓毒症进展提供新方法。</w:t>
      </w:r>
    </w:p>
    <w:p w14:paraId="0238E8EB">
      <w:pPr>
        <w:pStyle w:val="2"/>
        <w:spacing w:before="47" w:line="318" w:lineRule="auto"/>
        <w:ind w:right="19" w:firstLine="652" w:firstLineChars="200"/>
        <w:jc w:val="both"/>
        <w:rPr>
          <w:rFonts w:hint="eastAsia"/>
          <w:spacing w:val="8"/>
          <w:lang w:eastAsia="zh-CN"/>
        </w:rPr>
      </w:pPr>
      <w:r>
        <w:rPr>
          <w:rFonts w:hint="eastAsia"/>
          <w:spacing w:val="8"/>
          <w:lang w:eastAsia="zh-CN"/>
        </w:rPr>
        <w:t>4.对所有入组疑似脓毒症患者，同步采用血培养和多重病原体数字PCR检测，按照检测阳性结果分为细菌感染组和非细菌感染组，利用上述蛋白质组学数据分析筛选差异蛋白质，并初步验证这些差异蛋白质诊断细菌感染的性能。</w:t>
      </w:r>
    </w:p>
    <w:p w14:paraId="5865F4E7">
      <w:pPr>
        <w:pStyle w:val="2"/>
        <w:spacing w:before="47" w:line="318" w:lineRule="auto"/>
        <w:ind w:right="19"/>
        <w:jc w:val="both"/>
        <w:rPr>
          <w:rFonts w:hint="eastAsia"/>
          <w:spacing w:val="8"/>
          <w:lang w:eastAsia="zh-CN"/>
        </w:rPr>
      </w:pPr>
      <w:r>
        <w:rPr>
          <w:rFonts w:hint="eastAsia"/>
          <w:spacing w:val="8"/>
          <w:lang w:eastAsia="zh-CN"/>
        </w:rPr>
        <w:t>三、项目考核指标（项目执行期内）</w:t>
      </w:r>
    </w:p>
    <w:p w14:paraId="18FE1D0B">
      <w:pPr>
        <w:pStyle w:val="2"/>
        <w:spacing w:before="47" w:line="318" w:lineRule="auto"/>
        <w:ind w:right="19" w:firstLine="652" w:firstLineChars="200"/>
        <w:jc w:val="both"/>
        <w:rPr>
          <w:rFonts w:hint="eastAsia"/>
          <w:spacing w:val="8"/>
          <w:lang w:eastAsia="zh-CN"/>
        </w:rPr>
      </w:pPr>
      <w:r>
        <w:rPr>
          <w:rFonts w:hint="eastAsia"/>
          <w:spacing w:val="8"/>
          <w:lang w:eastAsia="zh-CN"/>
        </w:rPr>
        <w:t xml:space="preserve">1.筛选出具有脓毒症诊断价值的最优差异蛋白标志物。  </w:t>
      </w:r>
    </w:p>
    <w:p w14:paraId="6B8353D7">
      <w:pPr>
        <w:pStyle w:val="2"/>
        <w:spacing w:before="47" w:line="318" w:lineRule="auto"/>
        <w:ind w:right="19" w:firstLine="652" w:firstLineChars="200"/>
        <w:jc w:val="both"/>
        <w:rPr>
          <w:rFonts w:hint="eastAsia"/>
          <w:spacing w:val="8"/>
          <w:lang w:eastAsia="zh-CN"/>
        </w:rPr>
      </w:pPr>
      <w:r>
        <w:rPr>
          <w:rFonts w:hint="eastAsia"/>
          <w:spacing w:val="8"/>
          <w:lang w:eastAsia="zh-CN"/>
        </w:rPr>
        <w:t xml:space="preserve">2.建立并验证新的脓毒症诊断模型，评估最优差异蛋白标志物在脓毒症诊断中的临床价值。  </w:t>
      </w:r>
    </w:p>
    <w:p w14:paraId="7BFA4178">
      <w:pPr>
        <w:pStyle w:val="2"/>
        <w:spacing w:before="47" w:line="318" w:lineRule="auto"/>
        <w:ind w:right="19" w:firstLine="652" w:firstLineChars="200"/>
        <w:jc w:val="both"/>
        <w:rPr>
          <w:rFonts w:hint="eastAsia"/>
          <w:spacing w:val="8"/>
          <w:lang w:eastAsia="zh-CN"/>
        </w:rPr>
      </w:pPr>
      <w:r>
        <w:rPr>
          <w:rFonts w:hint="eastAsia"/>
          <w:spacing w:val="8"/>
          <w:lang w:eastAsia="zh-CN"/>
        </w:rPr>
        <w:t xml:space="preserve">3.构建并验证新的脓毒症预后模型，为脓毒症患者预后评估提新的方法。  </w:t>
      </w:r>
    </w:p>
    <w:p w14:paraId="6E1E3398">
      <w:pPr>
        <w:pStyle w:val="2"/>
        <w:spacing w:before="47" w:line="318" w:lineRule="auto"/>
        <w:ind w:right="19" w:firstLine="652" w:firstLineChars="200"/>
        <w:jc w:val="both"/>
        <w:rPr>
          <w:rFonts w:hint="eastAsia"/>
          <w:spacing w:val="8"/>
          <w:lang w:eastAsia="zh-CN"/>
        </w:rPr>
      </w:pPr>
      <w:r>
        <w:rPr>
          <w:rFonts w:hint="eastAsia"/>
          <w:spacing w:val="8"/>
          <w:lang w:eastAsia="zh-CN"/>
        </w:rPr>
        <w:t>4.筛选出细菌感染和非细菌感染差异蛋白标志物，并初步验证其诊断细菌感染的性能。</w:t>
      </w:r>
    </w:p>
    <w:p w14:paraId="37FF2CB7">
      <w:pPr>
        <w:pStyle w:val="2"/>
        <w:spacing w:before="47" w:line="318" w:lineRule="auto"/>
        <w:ind w:right="19"/>
        <w:jc w:val="both"/>
        <w:rPr>
          <w:rFonts w:hint="eastAsia"/>
          <w:spacing w:val="8"/>
          <w:lang w:eastAsia="zh-CN"/>
        </w:rPr>
      </w:pPr>
      <w:r>
        <w:rPr>
          <w:rFonts w:hint="eastAsia"/>
          <w:spacing w:val="8"/>
          <w:lang w:eastAsia="zh-CN"/>
        </w:rPr>
        <w:t>四、项目实施年限：不超过</w:t>
      </w:r>
      <w:r>
        <w:rPr>
          <w:rFonts w:hint="eastAsia"/>
          <w:spacing w:val="8"/>
          <w:lang w:val="en-US" w:eastAsia="zh-CN"/>
        </w:rPr>
        <w:t>2</w:t>
      </w:r>
      <w:r>
        <w:rPr>
          <w:rFonts w:hint="eastAsia"/>
          <w:spacing w:val="8"/>
          <w:lang w:eastAsia="zh-CN"/>
        </w:rPr>
        <w:t>年</w:t>
      </w:r>
    </w:p>
    <w:p w14:paraId="21F95070">
      <w:pPr>
        <w:pStyle w:val="2"/>
        <w:spacing w:before="47" w:line="318" w:lineRule="auto"/>
        <w:ind w:right="19"/>
        <w:jc w:val="both"/>
        <w:rPr>
          <w:rFonts w:hint="eastAsia"/>
          <w:spacing w:val="8"/>
          <w:lang w:eastAsia="zh-CN"/>
        </w:rPr>
      </w:pPr>
      <w:r>
        <w:rPr>
          <w:rFonts w:hint="eastAsia"/>
          <w:spacing w:val="8"/>
          <w:lang w:eastAsia="zh-CN"/>
        </w:rPr>
        <w:t>五、资助金额：不超过20万元</w:t>
      </w:r>
    </w:p>
    <w:p w14:paraId="1FD2312C">
      <w:pPr>
        <w:pStyle w:val="2"/>
        <w:spacing w:before="47" w:line="318" w:lineRule="auto"/>
        <w:ind w:right="19"/>
        <w:jc w:val="both"/>
        <w:rPr>
          <w:rFonts w:hint="eastAsia"/>
          <w:spacing w:val="8"/>
          <w:lang w:eastAsia="zh-CN"/>
        </w:rPr>
      </w:pPr>
    </w:p>
    <w:p w14:paraId="1EEFB5C5">
      <w:pPr>
        <w:pStyle w:val="2"/>
        <w:spacing w:before="47" w:line="318" w:lineRule="auto"/>
        <w:ind w:right="19"/>
        <w:jc w:val="both"/>
        <w:rPr>
          <w:rFonts w:hint="eastAsia"/>
          <w:spacing w:val="8"/>
          <w:lang w:eastAsia="zh-CN"/>
        </w:rPr>
      </w:pPr>
    </w:p>
    <w:p w14:paraId="75EBE427">
      <w:pPr>
        <w:pStyle w:val="2"/>
        <w:spacing w:before="47" w:line="318" w:lineRule="auto"/>
        <w:ind w:right="19"/>
        <w:jc w:val="both"/>
        <w:rPr>
          <w:rFonts w:hint="eastAsia"/>
          <w:spacing w:val="8"/>
          <w:lang w:eastAsia="zh-CN"/>
        </w:rPr>
      </w:pPr>
    </w:p>
    <w:p w14:paraId="2083FDEA">
      <w:pPr>
        <w:pStyle w:val="2"/>
        <w:spacing w:before="47" w:line="318" w:lineRule="auto"/>
        <w:ind w:right="19"/>
        <w:jc w:val="both"/>
        <w:rPr>
          <w:rFonts w:hint="eastAsia"/>
          <w:spacing w:val="8"/>
          <w:lang w:eastAsia="zh-CN"/>
        </w:rPr>
      </w:pPr>
    </w:p>
    <w:p w14:paraId="17054C2E">
      <w:pPr>
        <w:pStyle w:val="2"/>
        <w:spacing w:before="47" w:line="318" w:lineRule="auto"/>
        <w:ind w:right="19"/>
        <w:jc w:val="both"/>
        <w:rPr>
          <w:rFonts w:hint="eastAsia"/>
          <w:spacing w:val="8"/>
          <w:lang w:eastAsia="zh-CN"/>
        </w:rPr>
      </w:pPr>
    </w:p>
    <w:p w14:paraId="2E2201B9">
      <w:pPr>
        <w:pStyle w:val="2"/>
        <w:spacing w:before="47" w:line="318" w:lineRule="auto"/>
        <w:ind w:right="19"/>
        <w:jc w:val="both"/>
        <w:rPr>
          <w:rFonts w:hint="eastAsia"/>
          <w:spacing w:val="8"/>
          <w:lang w:eastAsia="zh-CN"/>
        </w:rPr>
      </w:pPr>
    </w:p>
    <w:p w14:paraId="00F7484A">
      <w:pPr>
        <w:pStyle w:val="2"/>
        <w:spacing w:before="47" w:line="318" w:lineRule="auto"/>
        <w:ind w:right="19"/>
        <w:jc w:val="both"/>
        <w:rPr>
          <w:rFonts w:hint="eastAsia"/>
          <w:spacing w:val="8"/>
          <w:lang w:eastAsia="zh-CN"/>
        </w:rPr>
      </w:pPr>
    </w:p>
    <w:p w14:paraId="5947FE3F">
      <w:pPr>
        <w:pStyle w:val="2"/>
        <w:spacing w:before="47" w:line="318" w:lineRule="auto"/>
        <w:ind w:right="19"/>
        <w:jc w:val="both"/>
        <w:rPr>
          <w:rFonts w:hint="eastAsia"/>
          <w:spacing w:val="8"/>
          <w:lang w:eastAsia="zh-CN"/>
        </w:rPr>
      </w:pPr>
    </w:p>
    <w:p w14:paraId="2FF4196A">
      <w:pPr>
        <w:pStyle w:val="2"/>
        <w:spacing w:before="47" w:line="318" w:lineRule="auto"/>
        <w:ind w:right="19"/>
        <w:jc w:val="both"/>
        <w:rPr>
          <w:rFonts w:hint="eastAsia"/>
          <w:spacing w:val="8"/>
          <w:lang w:eastAsia="zh-CN"/>
        </w:rPr>
      </w:pPr>
    </w:p>
    <w:p w14:paraId="2BC9ED5E">
      <w:pPr>
        <w:pStyle w:val="2"/>
        <w:spacing w:before="47" w:line="318" w:lineRule="auto"/>
        <w:ind w:right="19"/>
        <w:jc w:val="both"/>
        <w:rPr>
          <w:rFonts w:hint="eastAsia"/>
          <w:spacing w:val="8"/>
          <w:lang w:eastAsia="zh-CN"/>
        </w:rPr>
      </w:pPr>
    </w:p>
    <w:p w14:paraId="425E392D">
      <w:pPr>
        <w:pStyle w:val="2"/>
        <w:spacing w:before="47" w:line="318" w:lineRule="auto"/>
        <w:ind w:right="19"/>
        <w:jc w:val="both"/>
        <w:rPr>
          <w:rFonts w:hint="eastAsia"/>
          <w:spacing w:val="8"/>
          <w:lang w:eastAsia="zh-CN"/>
        </w:rPr>
      </w:pPr>
    </w:p>
    <w:p w14:paraId="3BE883D9">
      <w:pPr>
        <w:pStyle w:val="2"/>
        <w:spacing w:before="47" w:line="318" w:lineRule="auto"/>
        <w:ind w:right="19"/>
        <w:jc w:val="both"/>
        <w:rPr>
          <w:rFonts w:hint="eastAsia"/>
          <w:spacing w:val="8"/>
          <w:lang w:eastAsia="zh-CN"/>
        </w:rPr>
      </w:pPr>
    </w:p>
    <w:p w14:paraId="24CA3FA8">
      <w:pPr>
        <w:pStyle w:val="2"/>
        <w:spacing w:before="47" w:line="318" w:lineRule="auto"/>
        <w:ind w:right="19"/>
        <w:jc w:val="both"/>
        <w:rPr>
          <w:rFonts w:hint="eastAsia"/>
          <w:spacing w:val="8"/>
          <w:lang w:eastAsia="zh-CN"/>
        </w:rPr>
      </w:pPr>
    </w:p>
    <w:p w14:paraId="209150E3">
      <w:pPr>
        <w:pStyle w:val="2"/>
        <w:spacing w:before="47" w:line="318" w:lineRule="auto"/>
        <w:ind w:right="19"/>
        <w:jc w:val="both"/>
        <w:rPr>
          <w:rFonts w:hint="eastAsia"/>
          <w:spacing w:val="8"/>
          <w:lang w:eastAsia="zh-CN"/>
        </w:rPr>
      </w:pPr>
    </w:p>
    <w:p w14:paraId="26B3F1D0">
      <w:pPr>
        <w:pStyle w:val="2"/>
        <w:spacing w:before="47" w:line="318" w:lineRule="auto"/>
        <w:ind w:right="19"/>
        <w:jc w:val="both"/>
        <w:rPr>
          <w:rFonts w:hint="eastAsia"/>
          <w:spacing w:val="8"/>
          <w:lang w:eastAsia="zh-CN"/>
        </w:rPr>
      </w:pPr>
    </w:p>
    <w:p w14:paraId="6A489F70">
      <w:pPr>
        <w:pStyle w:val="2"/>
        <w:spacing w:before="47" w:line="318" w:lineRule="auto"/>
        <w:ind w:right="19"/>
        <w:jc w:val="both"/>
        <w:rPr>
          <w:rFonts w:hint="eastAsia"/>
          <w:spacing w:val="8"/>
          <w:lang w:eastAsia="zh-CN"/>
        </w:rPr>
      </w:pPr>
    </w:p>
    <w:p w14:paraId="539BA4C3">
      <w:pPr>
        <w:pStyle w:val="2"/>
        <w:spacing w:before="47" w:line="318" w:lineRule="auto"/>
        <w:ind w:right="19"/>
        <w:jc w:val="both"/>
        <w:rPr>
          <w:rFonts w:hint="eastAsia"/>
          <w:spacing w:val="8"/>
          <w:lang w:eastAsia="zh-CN"/>
        </w:rPr>
      </w:pPr>
    </w:p>
    <w:p w14:paraId="12D52428">
      <w:pPr>
        <w:pStyle w:val="2"/>
        <w:spacing w:before="47" w:line="318" w:lineRule="auto"/>
        <w:ind w:right="19"/>
        <w:jc w:val="both"/>
        <w:rPr>
          <w:rFonts w:hint="eastAsia"/>
          <w:spacing w:val="8"/>
          <w:lang w:eastAsia="zh-CN"/>
        </w:rPr>
      </w:pPr>
    </w:p>
    <w:p w14:paraId="4C5D7765">
      <w:pPr>
        <w:pStyle w:val="2"/>
        <w:spacing w:before="47" w:line="318" w:lineRule="auto"/>
        <w:ind w:right="19"/>
        <w:jc w:val="both"/>
        <w:rPr>
          <w:rFonts w:hint="eastAsia"/>
          <w:spacing w:val="8"/>
          <w:lang w:eastAsia="zh-CN"/>
        </w:rPr>
      </w:pPr>
    </w:p>
    <w:p w14:paraId="1B429E39">
      <w:pPr>
        <w:pStyle w:val="2"/>
        <w:spacing w:before="47" w:line="318" w:lineRule="auto"/>
        <w:ind w:right="19"/>
        <w:jc w:val="center"/>
        <w:rPr>
          <w:rFonts w:hint="eastAsia"/>
          <w:b/>
          <w:bCs/>
          <w:spacing w:val="8"/>
          <w:sz w:val="36"/>
          <w:szCs w:val="36"/>
          <w:lang w:eastAsia="zh-CN"/>
        </w:rPr>
      </w:pPr>
      <w:r>
        <w:rPr>
          <w:rFonts w:hint="eastAsia"/>
          <w:b/>
          <w:bCs/>
          <w:spacing w:val="8"/>
          <w:sz w:val="36"/>
          <w:szCs w:val="36"/>
          <w:lang w:eastAsia="zh-CN"/>
        </w:rPr>
        <w:t>创202412011 非小细胞肺癌关键菌致病机制及噬菌体防治</w:t>
      </w:r>
    </w:p>
    <w:p w14:paraId="484DE502">
      <w:pPr>
        <w:pStyle w:val="2"/>
        <w:spacing w:before="47" w:line="318" w:lineRule="auto"/>
        <w:ind w:right="19"/>
        <w:jc w:val="center"/>
        <w:rPr>
          <w:rFonts w:hint="eastAsia"/>
          <w:b/>
          <w:bCs/>
          <w:spacing w:val="8"/>
          <w:sz w:val="36"/>
          <w:szCs w:val="36"/>
          <w:lang w:eastAsia="zh-CN"/>
        </w:rPr>
      </w:pPr>
    </w:p>
    <w:p w14:paraId="795E29E7">
      <w:pPr>
        <w:pStyle w:val="2"/>
        <w:spacing w:before="47" w:line="318" w:lineRule="auto"/>
        <w:ind w:right="19"/>
        <w:jc w:val="both"/>
        <w:rPr>
          <w:spacing w:val="8"/>
          <w:lang w:eastAsia="zh-CN"/>
        </w:rPr>
      </w:pPr>
      <w:r>
        <w:rPr>
          <w:rFonts w:hint="eastAsia"/>
          <w:spacing w:val="8"/>
          <w:lang w:eastAsia="zh-CN"/>
        </w:rPr>
        <w:t>一、领域：非小细胞癌、菌群</w:t>
      </w:r>
    </w:p>
    <w:p w14:paraId="1C42E62D">
      <w:pPr>
        <w:pStyle w:val="2"/>
        <w:spacing w:before="47" w:line="318" w:lineRule="auto"/>
        <w:ind w:right="19"/>
        <w:jc w:val="both"/>
        <w:rPr>
          <w:rFonts w:hint="eastAsia"/>
          <w:spacing w:val="8"/>
          <w:lang w:eastAsia="zh-CN"/>
        </w:rPr>
      </w:pPr>
      <w:r>
        <w:rPr>
          <w:rFonts w:hint="eastAsia"/>
          <w:spacing w:val="8"/>
          <w:lang w:eastAsia="zh-CN"/>
        </w:rPr>
        <w:t>二、主要研发内容</w:t>
      </w:r>
    </w:p>
    <w:p w14:paraId="10A8C296">
      <w:pPr>
        <w:pStyle w:val="2"/>
        <w:spacing w:before="47" w:line="318" w:lineRule="auto"/>
        <w:ind w:right="19" w:firstLine="652" w:firstLineChars="200"/>
        <w:jc w:val="both"/>
        <w:rPr>
          <w:rFonts w:hint="eastAsia"/>
          <w:spacing w:val="8"/>
          <w:lang w:eastAsia="zh-CN"/>
        </w:rPr>
      </w:pPr>
      <w:r>
        <w:rPr>
          <w:rFonts w:hint="eastAsia"/>
          <w:spacing w:val="8"/>
          <w:lang w:eastAsia="zh-CN"/>
        </w:rPr>
        <w:t>1</w:t>
      </w:r>
      <w:r>
        <w:rPr>
          <w:spacing w:val="8"/>
          <w:lang w:eastAsia="zh-CN"/>
        </w:rPr>
        <w:t>.</w:t>
      </w:r>
      <w:r>
        <w:rPr>
          <w:rFonts w:hint="eastAsia"/>
          <w:spacing w:val="8"/>
          <w:lang w:eastAsia="zh-CN"/>
        </w:rPr>
        <w:t>基于临床样本，开展与非小细胞肺癌早期诊断或发病密切相关的口腔定植菌的筛选与验证研究，明确关键致病菌的毒力特征；</w:t>
      </w:r>
    </w:p>
    <w:p w14:paraId="1C8C12B9">
      <w:pPr>
        <w:pStyle w:val="2"/>
        <w:spacing w:before="47" w:line="318" w:lineRule="auto"/>
        <w:ind w:right="19" w:firstLine="652" w:firstLineChars="200"/>
        <w:jc w:val="both"/>
        <w:rPr>
          <w:rFonts w:hint="eastAsia"/>
          <w:spacing w:val="8"/>
          <w:lang w:eastAsia="zh-CN"/>
        </w:rPr>
      </w:pPr>
      <w:r>
        <w:rPr>
          <w:rFonts w:hint="eastAsia"/>
          <w:spacing w:val="8"/>
          <w:lang w:eastAsia="zh-CN"/>
        </w:rPr>
        <w:t>2</w:t>
      </w:r>
      <w:r>
        <w:rPr>
          <w:spacing w:val="8"/>
          <w:lang w:eastAsia="zh-CN"/>
        </w:rPr>
        <w:t>.</w:t>
      </w:r>
      <w:r>
        <w:rPr>
          <w:rFonts w:hint="eastAsia"/>
          <w:spacing w:val="8"/>
          <w:lang w:eastAsia="zh-CN"/>
        </w:rPr>
        <w:t>深入研究关键致病菌的代谢物或菌群代谢方式转变与非小细胞肺癌发生发展之间的关联，阐明菌群及其代谢物在该疾病发生发展中的具体机制；</w:t>
      </w:r>
    </w:p>
    <w:p w14:paraId="30CF1759">
      <w:pPr>
        <w:pStyle w:val="2"/>
        <w:spacing w:before="47" w:line="318" w:lineRule="auto"/>
        <w:ind w:right="19" w:firstLine="652" w:firstLineChars="200"/>
        <w:jc w:val="both"/>
        <w:rPr>
          <w:rFonts w:hint="eastAsia"/>
          <w:spacing w:val="8"/>
          <w:lang w:eastAsia="zh-CN"/>
        </w:rPr>
      </w:pPr>
      <w:r>
        <w:rPr>
          <w:rFonts w:hint="eastAsia"/>
          <w:spacing w:val="8"/>
          <w:lang w:eastAsia="zh-CN"/>
        </w:rPr>
        <w:t>3</w:t>
      </w:r>
      <w:r>
        <w:rPr>
          <w:spacing w:val="8"/>
          <w:lang w:eastAsia="zh-CN"/>
        </w:rPr>
        <w:t>.</w:t>
      </w:r>
      <w:r>
        <w:rPr>
          <w:rFonts w:hint="eastAsia"/>
          <w:spacing w:val="8"/>
          <w:lang w:eastAsia="zh-CN"/>
        </w:rPr>
        <w:t>建立致病菌噬菌体库，对噬菌体在致病菌相关非小细胞肺癌预防及治疗中的作用进行验证；评估致病菌及代谢物临床诊断价值。</w:t>
      </w:r>
    </w:p>
    <w:p w14:paraId="27DB7B10">
      <w:pPr>
        <w:pStyle w:val="2"/>
        <w:spacing w:before="47" w:line="318" w:lineRule="auto"/>
        <w:ind w:right="19"/>
        <w:jc w:val="both"/>
        <w:rPr>
          <w:rFonts w:hint="eastAsia"/>
          <w:spacing w:val="8"/>
          <w:lang w:eastAsia="zh-CN"/>
        </w:rPr>
      </w:pPr>
      <w:r>
        <w:rPr>
          <w:rFonts w:hint="eastAsia"/>
          <w:spacing w:val="8"/>
          <w:lang w:eastAsia="zh-CN"/>
        </w:rPr>
        <w:t>三、项目考核指标（项目执行期内）</w:t>
      </w:r>
    </w:p>
    <w:p w14:paraId="10BADE80">
      <w:pPr>
        <w:pStyle w:val="2"/>
        <w:spacing w:before="47" w:line="318" w:lineRule="auto"/>
        <w:ind w:right="19" w:firstLine="652" w:firstLineChars="200"/>
        <w:jc w:val="both"/>
        <w:rPr>
          <w:rFonts w:hint="eastAsia"/>
          <w:spacing w:val="8"/>
          <w:lang w:eastAsia="zh-CN"/>
        </w:rPr>
      </w:pPr>
      <w:r>
        <w:rPr>
          <w:rFonts w:hint="eastAsia"/>
          <w:spacing w:val="8"/>
          <w:lang w:eastAsia="zh-CN"/>
        </w:rPr>
        <w:t>1.完成至少100株致病菌的毒力验证，揭示其作用机制。</w:t>
      </w:r>
    </w:p>
    <w:p w14:paraId="2A8FCC09">
      <w:pPr>
        <w:pStyle w:val="2"/>
        <w:spacing w:before="47" w:line="318" w:lineRule="auto"/>
        <w:ind w:right="19" w:firstLine="652" w:firstLineChars="200"/>
        <w:jc w:val="both"/>
        <w:rPr>
          <w:rFonts w:hint="eastAsia"/>
          <w:spacing w:val="8"/>
          <w:lang w:eastAsia="zh-CN"/>
        </w:rPr>
      </w:pPr>
      <w:r>
        <w:rPr>
          <w:rFonts w:hint="eastAsia"/>
          <w:spacing w:val="8"/>
          <w:lang w:eastAsia="zh-CN"/>
        </w:rPr>
        <w:t>2.筛选出至少1种具有高效杀菌活性的噬菌体，对其疗效进行评估。</w:t>
      </w:r>
    </w:p>
    <w:p w14:paraId="44CEB11F">
      <w:pPr>
        <w:pStyle w:val="2"/>
        <w:spacing w:before="47" w:line="318" w:lineRule="auto"/>
        <w:ind w:right="19"/>
        <w:jc w:val="both"/>
        <w:rPr>
          <w:rFonts w:hint="eastAsia"/>
          <w:spacing w:val="8"/>
          <w:lang w:eastAsia="zh-CN"/>
        </w:rPr>
      </w:pPr>
      <w:r>
        <w:rPr>
          <w:rFonts w:hint="eastAsia"/>
          <w:spacing w:val="8"/>
          <w:lang w:eastAsia="zh-CN"/>
        </w:rPr>
        <w:t>四、项目实施年限：不超过</w:t>
      </w:r>
      <w:r>
        <w:rPr>
          <w:rFonts w:hint="eastAsia"/>
          <w:spacing w:val="8"/>
          <w:lang w:val="en-US" w:eastAsia="zh-CN"/>
        </w:rPr>
        <w:t>2</w:t>
      </w:r>
      <w:bookmarkStart w:id="0" w:name="_GoBack"/>
      <w:bookmarkEnd w:id="0"/>
      <w:r>
        <w:rPr>
          <w:rFonts w:hint="eastAsia"/>
          <w:spacing w:val="8"/>
          <w:lang w:eastAsia="zh-CN"/>
        </w:rPr>
        <w:t>年</w:t>
      </w:r>
    </w:p>
    <w:p w14:paraId="37FB9D4B">
      <w:pPr>
        <w:pStyle w:val="2"/>
        <w:spacing w:before="47" w:line="318" w:lineRule="auto"/>
        <w:ind w:right="19"/>
        <w:jc w:val="both"/>
        <w:rPr>
          <w:spacing w:val="8"/>
          <w:lang w:eastAsia="zh-CN"/>
        </w:rPr>
      </w:pPr>
      <w:r>
        <w:rPr>
          <w:rFonts w:hint="eastAsia"/>
          <w:spacing w:val="8"/>
          <w:lang w:eastAsia="zh-CN"/>
        </w:rPr>
        <w:t>五、资助金额：不超过10万元</w:t>
      </w:r>
    </w:p>
    <w:p w14:paraId="28E9464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0547E9"/>
    <w:multiLevelType w:val="multilevel"/>
    <w:tmpl w:val="430547E9"/>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0332FC"/>
    <w:rsid w:val="223311E5"/>
    <w:rsid w:val="63270BBF"/>
    <w:rsid w:val="6A0332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textAlignment w:val="baseline"/>
    </w:pPr>
    <w:rPr>
      <w:rFonts w:ascii="Arial" w:hAnsi="Arial" w:cs="Arial" w:eastAsiaTheme="minorEastAsia"/>
      <w:snapToGrid w:val="0"/>
      <w:color w:val="00000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3665</Words>
  <Characters>3981</Characters>
  <Lines>0</Lines>
  <Paragraphs>0</Paragraphs>
  <TotalTime>7</TotalTime>
  <ScaleCrop>false</ScaleCrop>
  <LinksUpToDate>false</LinksUpToDate>
  <CharactersWithSpaces>4003</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2024-12-04T08:31:00Z</dcterms:created>
  <dc:creator>Elfinsword、</dc:creator>
  <cp:lastModifiedBy>Elfinsword、</cp:lastModifiedBy>
  <dcterms:modified xsi:type="dcterms:W3CDTF">2024-12-20T09:20:56Z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03D111CB06B04F17B31A2F97388320E8_11</vt:lpwstr>
  </property>
</Properties>
</file>