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02F18">
      <w:pPr>
        <w:spacing w:before="91" w:line="159" w:lineRule="auto"/>
        <w:ind w:right="248"/>
        <w:jc w:val="center"/>
        <w:outlineLvl w:val="0"/>
        <w:rPr>
          <w:rFonts w:ascii="微软雅黑" w:hAnsi="微软雅黑" w:eastAsia="微软雅黑" w:cs="微软雅黑"/>
          <w:spacing w:val="-6"/>
          <w:sz w:val="44"/>
          <w:szCs w:val="44"/>
          <w:lang w:eastAsia="zh-CN"/>
        </w:rPr>
      </w:pPr>
      <w:r>
        <w:rPr>
          <w:rFonts w:hint="eastAsia" w:ascii="微软雅黑" w:hAnsi="微软雅黑" w:eastAsia="微软雅黑" w:cs="微软雅黑"/>
          <w:spacing w:val="19"/>
          <w:sz w:val="44"/>
          <w:szCs w:val="44"/>
          <w:lang w:eastAsia="zh-CN"/>
        </w:rPr>
        <w:t>临床检验</w:t>
      </w:r>
      <w:r>
        <w:rPr>
          <w:rFonts w:ascii="微软雅黑" w:hAnsi="微软雅黑" w:eastAsia="微软雅黑" w:cs="微软雅黑"/>
          <w:spacing w:val="19"/>
          <w:sz w:val="44"/>
          <w:szCs w:val="44"/>
          <w:lang w:eastAsia="zh-CN"/>
        </w:rPr>
        <w:t>新技术创新基金</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第一批</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项目</w:t>
      </w:r>
      <w:r>
        <w:rPr>
          <w:rFonts w:hint="eastAsia" w:ascii="微软雅黑" w:hAnsi="微软雅黑" w:eastAsia="微软雅黑" w:cs="微软雅黑"/>
          <w:spacing w:val="-6"/>
          <w:sz w:val="44"/>
          <w:szCs w:val="44"/>
          <w:lang w:eastAsia="zh-CN"/>
        </w:rPr>
        <w:t>课题</w:t>
      </w:r>
      <w:r>
        <w:rPr>
          <w:rFonts w:ascii="微软雅黑" w:hAnsi="微软雅黑" w:eastAsia="微软雅黑" w:cs="微软雅黑"/>
          <w:spacing w:val="-6"/>
          <w:sz w:val="44"/>
          <w:szCs w:val="44"/>
          <w:lang w:eastAsia="zh-CN"/>
        </w:rPr>
        <w:t>指南</w:t>
      </w:r>
    </w:p>
    <w:p w14:paraId="1A9980FE">
      <w:pPr>
        <w:spacing w:before="91" w:line="159" w:lineRule="auto"/>
        <w:ind w:right="248"/>
        <w:jc w:val="center"/>
        <w:outlineLvl w:val="0"/>
        <w:rPr>
          <w:rFonts w:ascii="微软雅黑" w:hAnsi="微软雅黑" w:eastAsia="微软雅黑" w:cs="微软雅黑"/>
          <w:spacing w:val="-6"/>
          <w:sz w:val="44"/>
          <w:szCs w:val="44"/>
          <w:lang w:eastAsia="zh-CN"/>
        </w:rPr>
      </w:pPr>
    </w:p>
    <w:p w14:paraId="774658EF">
      <w:pPr>
        <w:pStyle w:val="2"/>
        <w:spacing w:before="120" w:line="319" w:lineRule="auto"/>
        <w:ind w:right="17"/>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02412001 </w:t>
      </w:r>
      <w:r>
        <w:rPr>
          <w:rFonts w:hint="eastAsia"/>
          <w:b/>
          <w:bCs/>
          <w:spacing w:val="8"/>
          <w:sz w:val="36"/>
          <w:szCs w:val="36"/>
          <w:lang w:eastAsia="zh-CN"/>
        </w:rPr>
        <w:t>肌钙蛋白I抗干扰相关临床研究</w:t>
      </w:r>
    </w:p>
    <w:p w14:paraId="69ABCB19">
      <w:pPr>
        <w:pStyle w:val="2"/>
        <w:spacing w:before="120" w:line="319" w:lineRule="auto"/>
        <w:ind w:right="17"/>
        <w:jc w:val="center"/>
        <w:rPr>
          <w:rFonts w:hint="eastAsia"/>
          <w:b/>
          <w:bCs/>
          <w:spacing w:val="8"/>
          <w:sz w:val="36"/>
          <w:szCs w:val="36"/>
          <w:lang w:eastAsia="zh-CN"/>
        </w:rPr>
      </w:pPr>
    </w:p>
    <w:p w14:paraId="1C27C3A3">
      <w:pPr>
        <w:pStyle w:val="2"/>
        <w:spacing w:before="47" w:line="318" w:lineRule="auto"/>
        <w:ind w:right="19"/>
        <w:jc w:val="both"/>
        <w:rPr>
          <w:spacing w:val="8"/>
          <w:lang w:eastAsia="zh-CN"/>
        </w:rPr>
      </w:pPr>
      <w:r>
        <w:rPr>
          <w:rFonts w:hint="eastAsia"/>
          <w:spacing w:val="8"/>
          <w:lang w:eastAsia="zh-CN"/>
        </w:rPr>
        <w:t>一、领域：心脑血管标志物</w:t>
      </w:r>
    </w:p>
    <w:p w14:paraId="58F04568">
      <w:pPr>
        <w:pStyle w:val="2"/>
        <w:spacing w:before="47" w:line="318" w:lineRule="auto"/>
        <w:ind w:right="19"/>
        <w:jc w:val="both"/>
        <w:rPr>
          <w:spacing w:val="8"/>
          <w:lang w:eastAsia="zh-CN"/>
        </w:rPr>
      </w:pPr>
      <w:r>
        <w:rPr>
          <w:rFonts w:hint="eastAsia"/>
          <w:spacing w:val="8"/>
          <w:lang w:eastAsia="zh-CN"/>
        </w:rPr>
        <w:t>二、主要研究内容</w:t>
      </w:r>
    </w:p>
    <w:p w14:paraId="2DE99511">
      <w:pPr>
        <w:pStyle w:val="2"/>
        <w:spacing w:before="47" w:line="318" w:lineRule="auto"/>
        <w:ind w:left="30" w:right="19" w:firstLine="648"/>
        <w:jc w:val="both"/>
        <w:rPr>
          <w:spacing w:val="8"/>
          <w:lang w:eastAsia="zh-CN"/>
        </w:rPr>
      </w:pPr>
      <w:r>
        <w:rPr>
          <w:rFonts w:hint="eastAsia"/>
          <w:spacing w:val="8"/>
          <w:lang w:eastAsia="zh-CN"/>
        </w:rPr>
        <w:t>（一）基于临床已在应用的心脑血管标志物检测试剂进行精密度、准确度、抗干扰能力研究；</w:t>
      </w:r>
    </w:p>
    <w:p w14:paraId="3E277932">
      <w:pPr>
        <w:pStyle w:val="2"/>
        <w:spacing w:before="47" w:line="318" w:lineRule="auto"/>
        <w:ind w:left="30" w:right="19" w:firstLine="648"/>
        <w:jc w:val="both"/>
        <w:rPr>
          <w:spacing w:val="8"/>
          <w:lang w:eastAsia="zh-CN"/>
        </w:rPr>
      </w:pPr>
      <w:r>
        <w:rPr>
          <w:rFonts w:hint="eastAsia"/>
          <w:spacing w:val="8"/>
          <w:lang w:eastAsia="zh-CN"/>
        </w:rPr>
        <w:t>（二）该研究要覆盖尽量多的患者类型，比如从人群分类上不限制研究的年龄。从疾病类型上覆盖外伤、心脑血管疾病、肿瘤等；</w:t>
      </w:r>
    </w:p>
    <w:p w14:paraId="1226E8C1">
      <w:pPr>
        <w:pStyle w:val="2"/>
        <w:spacing w:before="47" w:line="318" w:lineRule="auto"/>
        <w:ind w:right="19"/>
        <w:jc w:val="both"/>
        <w:rPr>
          <w:spacing w:val="8"/>
          <w:lang w:eastAsia="zh-CN"/>
        </w:rPr>
      </w:pPr>
      <w:r>
        <w:rPr>
          <w:rFonts w:hint="eastAsia"/>
          <w:spacing w:val="8"/>
          <w:lang w:eastAsia="zh-CN"/>
        </w:rPr>
        <w:t>三、项目考核指标（项目执行期内）</w:t>
      </w:r>
    </w:p>
    <w:p w14:paraId="39F767FE">
      <w:pPr>
        <w:pStyle w:val="2"/>
        <w:spacing w:before="47" w:line="318" w:lineRule="auto"/>
        <w:ind w:left="30" w:right="19" w:firstLine="648"/>
        <w:jc w:val="both"/>
        <w:rPr>
          <w:spacing w:val="8"/>
          <w:lang w:eastAsia="zh-CN"/>
        </w:rPr>
      </w:pPr>
      <w:r>
        <w:rPr>
          <w:rFonts w:hint="eastAsia"/>
          <w:spacing w:val="8"/>
          <w:lang w:eastAsia="zh-CN"/>
        </w:rPr>
        <w:t>1.完成至少1000例的人体组织、血液、体液样本收集和标志物检测结果。尽可能多地覆盖疾病场景的不同年龄分布。</w:t>
      </w:r>
    </w:p>
    <w:p w14:paraId="24AA97EC">
      <w:pPr>
        <w:pStyle w:val="2"/>
        <w:spacing w:before="47" w:line="318" w:lineRule="auto"/>
        <w:ind w:left="30" w:right="19" w:firstLine="648"/>
        <w:jc w:val="both"/>
        <w:rPr>
          <w:spacing w:val="8"/>
          <w:lang w:eastAsia="zh-CN"/>
        </w:rPr>
      </w:pPr>
      <w:r>
        <w:rPr>
          <w:rFonts w:hint="eastAsia"/>
          <w:spacing w:val="8"/>
          <w:lang w:eastAsia="zh-CN"/>
        </w:rPr>
        <w:t>2.对以上生物样本心脑血管标志物进行评估，生成评估报告。</w:t>
      </w:r>
    </w:p>
    <w:p w14:paraId="755F73AD">
      <w:pPr>
        <w:pStyle w:val="2"/>
        <w:spacing w:before="47" w:line="318" w:lineRule="auto"/>
        <w:ind w:right="19"/>
        <w:jc w:val="both"/>
        <w:rPr>
          <w:spacing w:val="8"/>
          <w:lang w:eastAsia="zh-CN"/>
        </w:rPr>
      </w:pPr>
      <w:r>
        <w:rPr>
          <w:rFonts w:hint="eastAsia"/>
          <w:spacing w:val="8"/>
          <w:lang w:eastAsia="zh-CN"/>
        </w:rPr>
        <w:t>四、项目实施年限：不超过2年</w:t>
      </w:r>
    </w:p>
    <w:p w14:paraId="3FF2EA5A">
      <w:pPr>
        <w:pStyle w:val="2"/>
        <w:spacing w:before="47" w:line="318" w:lineRule="auto"/>
        <w:ind w:right="19"/>
        <w:jc w:val="both"/>
        <w:rPr>
          <w:spacing w:val="8"/>
          <w:lang w:eastAsia="zh-CN"/>
        </w:rPr>
      </w:pPr>
      <w:r>
        <w:rPr>
          <w:rFonts w:hint="eastAsia"/>
          <w:spacing w:val="8"/>
          <w:lang w:eastAsia="zh-CN"/>
        </w:rPr>
        <w:t>五、资助金额：不超过</w:t>
      </w:r>
      <w:r>
        <w:rPr>
          <w:spacing w:val="8"/>
          <w:lang w:eastAsia="zh-CN"/>
        </w:rPr>
        <w:t>15</w:t>
      </w:r>
      <w:r>
        <w:rPr>
          <w:rFonts w:hint="eastAsia"/>
          <w:spacing w:val="8"/>
          <w:lang w:eastAsia="zh-CN"/>
        </w:rPr>
        <w:t>万元（不超过</w:t>
      </w:r>
      <w:r>
        <w:rPr>
          <w:spacing w:val="8"/>
          <w:lang w:eastAsia="zh-CN"/>
        </w:rPr>
        <w:t>3</w:t>
      </w:r>
      <w:r>
        <w:rPr>
          <w:rFonts w:hint="eastAsia"/>
          <w:spacing w:val="8"/>
          <w:lang w:eastAsia="zh-CN"/>
        </w:rPr>
        <w:t>家单位）</w:t>
      </w:r>
    </w:p>
    <w:p w14:paraId="29697054">
      <w:pPr>
        <w:spacing w:before="91" w:line="159" w:lineRule="auto"/>
        <w:ind w:right="248"/>
        <w:jc w:val="center"/>
        <w:outlineLvl w:val="0"/>
        <w:rPr>
          <w:rFonts w:ascii="微软雅黑" w:hAnsi="微软雅黑" w:eastAsia="微软雅黑" w:cs="微软雅黑"/>
          <w:spacing w:val="19"/>
          <w:sz w:val="44"/>
          <w:szCs w:val="44"/>
          <w:lang w:eastAsia="zh-CN"/>
        </w:rPr>
      </w:pPr>
    </w:p>
    <w:p w14:paraId="7640AB84">
      <w:pPr>
        <w:spacing w:before="91" w:line="159" w:lineRule="auto"/>
        <w:ind w:right="248"/>
        <w:jc w:val="center"/>
        <w:outlineLvl w:val="0"/>
        <w:rPr>
          <w:rFonts w:ascii="微软雅黑" w:hAnsi="微软雅黑" w:eastAsia="微软雅黑" w:cs="微软雅黑"/>
          <w:spacing w:val="19"/>
          <w:sz w:val="44"/>
          <w:szCs w:val="44"/>
          <w:lang w:eastAsia="zh-CN"/>
        </w:rPr>
      </w:pPr>
    </w:p>
    <w:p w14:paraId="649C24A5">
      <w:pPr>
        <w:spacing w:before="91" w:line="159" w:lineRule="auto"/>
        <w:ind w:right="248"/>
        <w:jc w:val="center"/>
        <w:outlineLvl w:val="0"/>
        <w:rPr>
          <w:rFonts w:ascii="微软雅黑" w:hAnsi="微软雅黑" w:eastAsia="微软雅黑" w:cs="微软雅黑"/>
          <w:spacing w:val="19"/>
          <w:sz w:val="44"/>
          <w:szCs w:val="44"/>
          <w:lang w:eastAsia="zh-CN"/>
        </w:rPr>
      </w:pPr>
    </w:p>
    <w:p w14:paraId="37EC07D7">
      <w:pPr>
        <w:spacing w:before="91" w:line="159" w:lineRule="auto"/>
        <w:ind w:right="248"/>
        <w:jc w:val="both"/>
        <w:outlineLvl w:val="0"/>
        <w:rPr>
          <w:rFonts w:ascii="微软雅黑" w:hAnsi="微软雅黑" w:eastAsia="微软雅黑" w:cs="微软雅黑"/>
          <w:spacing w:val="19"/>
          <w:sz w:val="44"/>
          <w:szCs w:val="44"/>
          <w:lang w:eastAsia="zh-CN"/>
        </w:rPr>
      </w:pPr>
    </w:p>
    <w:p w14:paraId="14BFD1BB">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02412002 </w:t>
      </w:r>
      <w:r>
        <w:rPr>
          <w:rFonts w:hint="eastAsia"/>
          <w:b/>
          <w:bCs/>
          <w:spacing w:val="8"/>
          <w:sz w:val="36"/>
          <w:szCs w:val="36"/>
          <w:lang w:eastAsia="zh-CN"/>
        </w:rPr>
        <w:t>儿童血脂参考范围建立相关临床研究</w:t>
      </w:r>
    </w:p>
    <w:p w14:paraId="50FA3BF9">
      <w:pPr>
        <w:pStyle w:val="2"/>
        <w:spacing w:before="47" w:line="318" w:lineRule="auto"/>
        <w:ind w:right="19"/>
        <w:jc w:val="center"/>
        <w:rPr>
          <w:rFonts w:hint="eastAsia"/>
          <w:b/>
          <w:bCs/>
          <w:spacing w:val="8"/>
          <w:sz w:val="36"/>
          <w:szCs w:val="36"/>
          <w:lang w:eastAsia="zh-CN"/>
        </w:rPr>
      </w:pPr>
    </w:p>
    <w:p w14:paraId="3F5C94EE">
      <w:pPr>
        <w:pStyle w:val="2"/>
        <w:spacing w:before="47" w:line="318" w:lineRule="auto"/>
        <w:ind w:right="19"/>
        <w:jc w:val="both"/>
        <w:rPr>
          <w:spacing w:val="8"/>
          <w:lang w:eastAsia="zh-CN"/>
        </w:rPr>
      </w:pPr>
      <w:r>
        <w:rPr>
          <w:rFonts w:hint="eastAsia"/>
          <w:spacing w:val="8"/>
          <w:lang w:eastAsia="zh-CN"/>
        </w:rPr>
        <w:t>一、领域：生化、血脂、参考区间</w:t>
      </w:r>
    </w:p>
    <w:p w14:paraId="47AEEA49">
      <w:pPr>
        <w:pStyle w:val="2"/>
        <w:spacing w:before="47" w:line="318" w:lineRule="auto"/>
        <w:ind w:right="19"/>
        <w:jc w:val="both"/>
        <w:rPr>
          <w:spacing w:val="8"/>
          <w:lang w:eastAsia="zh-CN"/>
        </w:rPr>
      </w:pPr>
      <w:r>
        <w:rPr>
          <w:rFonts w:hint="eastAsia"/>
          <w:spacing w:val="8"/>
          <w:lang w:eastAsia="zh-CN"/>
        </w:rPr>
        <w:t>二、主要研究内容</w:t>
      </w:r>
    </w:p>
    <w:p w14:paraId="34E9BAD2">
      <w:pPr>
        <w:pStyle w:val="2"/>
        <w:spacing w:before="47" w:line="318" w:lineRule="auto"/>
        <w:ind w:left="30" w:right="19" w:firstLine="648"/>
        <w:jc w:val="both"/>
        <w:rPr>
          <w:spacing w:val="8"/>
          <w:lang w:eastAsia="zh-CN"/>
        </w:rPr>
      </w:pPr>
      <w:r>
        <w:rPr>
          <w:rFonts w:hint="eastAsia"/>
          <w:spacing w:val="8"/>
          <w:lang w:eastAsia="zh-CN"/>
        </w:rPr>
        <w:t>（一）基于0-18岁人群，评估于儿童健康、生长、发育有关的检验指标在儿童群体的应用，构建参考范围等；</w:t>
      </w:r>
    </w:p>
    <w:p w14:paraId="7400C4FF">
      <w:pPr>
        <w:pStyle w:val="2"/>
        <w:spacing w:before="47" w:line="318" w:lineRule="auto"/>
        <w:ind w:left="30" w:right="19" w:firstLine="648"/>
        <w:jc w:val="both"/>
        <w:rPr>
          <w:spacing w:val="8"/>
          <w:lang w:eastAsia="zh-CN"/>
        </w:rPr>
      </w:pPr>
      <w:r>
        <w:rPr>
          <w:rFonts w:hint="eastAsia"/>
          <w:spacing w:val="8"/>
          <w:lang w:eastAsia="zh-CN"/>
        </w:rPr>
        <w:t>（二）该研究要覆盖0-18岁的未成年人群，如从人群分类上覆盖未成年男性和女性；</w:t>
      </w:r>
    </w:p>
    <w:p w14:paraId="271BAEEE">
      <w:pPr>
        <w:pStyle w:val="2"/>
        <w:spacing w:before="47" w:line="318" w:lineRule="auto"/>
        <w:ind w:right="19"/>
        <w:jc w:val="both"/>
        <w:rPr>
          <w:spacing w:val="8"/>
          <w:lang w:eastAsia="zh-CN"/>
        </w:rPr>
      </w:pPr>
      <w:r>
        <w:rPr>
          <w:rFonts w:hint="eastAsia"/>
          <w:spacing w:val="8"/>
          <w:lang w:eastAsia="zh-CN"/>
        </w:rPr>
        <w:t>三、项目考核指标（项目执行期内）</w:t>
      </w:r>
    </w:p>
    <w:p w14:paraId="131775B4">
      <w:pPr>
        <w:pStyle w:val="2"/>
        <w:spacing w:before="47" w:line="318" w:lineRule="auto"/>
        <w:ind w:left="30" w:right="19" w:firstLine="648"/>
        <w:jc w:val="both"/>
        <w:rPr>
          <w:spacing w:val="8"/>
          <w:lang w:eastAsia="zh-CN"/>
        </w:rPr>
      </w:pPr>
      <w:r>
        <w:rPr>
          <w:rFonts w:hint="eastAsia"/>
          <w:spacing w:val="8"/>
          <w:lang w:eastAsia="zh-CN"/>
        </w:rPr>
        <w:t>1.完成至少1000例儿童组织、血液、体液标本的收集和检测，检测可选项：甲状腺功能、血糖、血脂、性激素等。</w:t>
      </w:r>
    </w:p>
    <w:p w14:paraId="1F8DEB93">
      <w:pPr>
        <w:pStyle w:val="2"/>
        <w:spacing w:before="47" w:line="318" w:lineRule="auto"/>
        <w:ind w:left="30" w:right="19" w:firstLine="648"/>
        <w:jc w:val="both"/>
        <w:rPr>
          <w:spacing w:val="8"/>
          <w:lang w:eastAsia="zh-CN"/>
        </w:rPr>
      </w:pPr>
      <w:r>
        <w:rPr>
          <w:rFonts w:hint="eastAsia"/>
          <w:spacing w:val="8"/>
          <w:lang w:eastAsia="zh-CN"/>
        </w:rPr>
        <w:t>2.对以上检测结果进行分析、评估，生成评估报告。</w:t>
      </w:r>
    </w:p>
    <w:p w14:paraId="6119C4B2">
      <w:pPr>
        <w:pStyle w:val="2"/>
        <w:spacing w:before="47" w:line="318" w:lineRule="auto"/>
        <w:ind w:right="19"/>
        <w:jc w:val="both"/>
        <w:rPr>
          <w:spacing w:val="8"/>
          <w:lang w:eastAsia="zh-CN"/>
        </w:rPr>
      </w:pPr>
      <w:r>
        <w:rPr>
          <w:rFonts w:hint="eastAsia"/>
          <w:spacing w:val="8"/>
          <w:lang w:eastAsia="zh-CN"/>
        </w:rPr>
        <w:t>四、项目实施年限：不超过2年</w:t>
      </w:r>
    </w:p>
    <w:p w14:paraId="7FD0597F">
      <w:pPr>
        <w:pStyle w:val="2"/>
        <w:spacing w:before="47" w:line="318" w:lineRule="auto"/>
        <w:ind w:right="19"/>
        <w:jc w:val="both"/>
        <w:rPr>
          <w:spacing w:val="8"/>
          <w:lang w:eastAsia="zh-CN"/>
        </w:rPr>
      </w:pPr>
      <w:r>
        <w:rPr>
          <w:rFonts w:hint="eastAsia"/>
          <w:spacing w:val="8"/>
          <w:lang w:eastAsia="zh-CN"/>
        </w:rPr>
        <w:t>五、资助金额：不超过10万元</w:t>
      </w:r>
    </w:p>
    <w:p w14:paraId="3F512C79">
      <w:pPr>
        <w:pStyle w:val="2"/>
        <w:spacing w:before="47" w:line="318" w:lineRule="auto"/>
        <w:ind w:right="19"/>
        <w:jc w:val="both"/>
        <w:rPr>
          <w:rFonts w:hint="eastAsia"/>
          <w:spacing w:val="8"/>
          <w:lang w:eastAsia="zh-CN"/>
        </w:rPr>
      </w:pPr>
    </w:p>
    <w:p w14:paraId="5415E2FC">
      <w:pPr>
        <w:spacing w:before="91" w:line="159" w:lineRule="auto"/>
        <w:ind w:right="248"/>
        <w:jc w:val="center"/>
        <w:outlineLvl w:val="0"/>
        <w:rPr>
          <w:rFonts w:ascii="微软雅黑" w:hAnsi="微软雅黑" w:eastAsia="微软雅黑" w:cs="微软雅黑"/>
          <w:spacing w:val="19"/>
          <w:sz w:val="44"/>
          <w:szCs w:val="44"/>
          <w:lang w:eastAsia="zh-CN"/>
        </w:rPr>
      </w:pPr>
    </w:p>
    <w:p w14:paraId="3F8074A9">
      <w:pPr>
        <w:spacing w:before="91" w:line="159" w:lineRule="auto"/>
        <w:ind w:right="248"/>
        <w:jc w:val="center"/>
        <w:outlineLvl w:val="0"/>
        <w:rPr>
          <w:rFonts w:ascii="微软雅黑" w:hAnsi="微软雅黑" w:eastAsia="微软雅黑" w:cs="微软雅黑"/>
          <w:spacing w:val="19"/>
          <w:sz w:val="44"/>
          <w:szCs w:val="44"/>
          <w:lang w:eastAsia="zh-CN"/>
        </w:rPr>
      </w:pPr>
    </w:p>
    <w:p w14:paraId="189561FB">
      <w:pPr>
        <w:spacing w:before="91" w:line="159" w:lineRule="auto"/>
        <w:ind w:right="248"/>
        <w:jc w:val="center"/>
        <w:outlineLvl w:val="0"/>
        <w:rPr>
          <w:rFonts w:ascii="微软雅黑" w:hAnsi="微软雅黑" w:eastAsia="微软雅黑" w:cs="微软雅黑"/>
          <w:spacing w:val="19"/>
          <w:sz w:val="44"/>
          <w:szCs w:val="44"/>
          <w:lang w:eastAsia="zh-CN"/>
        </w:rPr>
      </w:pPr>
    </w:p>
    <w:p w14:paraId="678B4F0D">
      <w:pPr>
        <w:spacing w:before="91" w:line="159" w:lineRule="auto"/>
        <w:ind w:right="248"/>
        <w:jc w:val="center"/>
        <w:outlineLvl w:val="0"/>
        <w:rPr>
          <w:rFonts w:ascii="微软雅黑" w:hAnsi="微软雅黑" w:eastAsia="微软雅黑" w:cs="微软雅黑"/>
          <w:spacing w:val="19"/>
          <w:sz w:val="44"/>
          <w:szCs w:val="44"/>
          <w:lang w:eastAsia="zh-CN"/>
        </w:rPr>
      </w:pPr>
    </w:p>
    <w:p w14:paraId="02782468">
      <w:pPr>
        <w:spacing w:before="91" w:line="159" w:lineRule="auto"/>
        <w:ind w:right="248"/>
        <w:jc w:val="center"/>
        <w:outlineLvl w:val="0"/>
        <w:rPr>
          <w:rFonts w:ascii="微软雅黑" w:hAnsi="微软雅黑" w:eastAsia="微软雅黑" w:cs="微软雅黑"/>
          <w:spacing w:val="19"/>
          <w:sz w:val="44"/>
          <w:szCs w:val="44"/>
          <w:lang w:eastAsia="zh-CN"/>
        </w:rPr>
      </w:pPr>
    </w:p>
    <w:p w14:paraId="6273B1E8">
      <w:pPr>
        <w:spacing w:before="91" w:line="159" w:lineRule="auto"/>
        <w:ind w:right="248"/>
        <w:jc w:val="both"/>
        <w:outlineLvl w:val="0"/>
        <w:rPr>
          <w:rFonts w:ascii="微软雅黑" w:hAnsi="微软雅黑" w:eastAsia="微软雅黑" w:cs="微软雅黑"/>
          <w:spacing w:val="19"/>
          <w:sz w:val="44"/>
          <w:szCs w:val="44"/>
          <w:lang w:eastAsia="zh-CN"/>
        </w:rPr>
      </w:pPr>
    </w:p>
    <w:p w14:paraId="7876BE52">
      <w:pPr>
        <w:pStyle w:val="2"/>
        <w:spacing w:before="47" w:line="318" w:lineRule="auto"/>
        <w:ind w:right="19"/>
        <w:jc w:val="both"/>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02412003 </w:t>
      </w:r>
      <w:r>
        <w:rPr>
          <w:rFonts w:hint="eastAsia"/>
          <w:b/>
          <w:bCs/>
          <w:spacing w:val="8"/>
          <w:sz w:val="36"/>
          <w:szCs w:val="36"/>
          <w:lang w:eastAsia="zh-CN"/>
        </w:rPr>
        <w:t>可溶性白细胞分化抗原14亚型（sCD14-ST）在急性呼吸道感染中的诊断及预后价值研究</w:t>
      </w:r>
    </w:p>
    <w:p w14:paraId="1356FBE5">
      <w:pPr>
        <w:pStyle w:val="2"/>
        <w:spacing w:before="47" w:line="318" w:lineRule="auto"/>
        <w:ind w:left="30" w:right="19"/>
        <w:jc w:val="center"/>
        <w:rPr>
          <w:rFonts w:hint="eastAsia"/>
          <w:b/>
          <w:bCs/>
          <w:spacing w:val="8"/>
          <w:sz w:val="36"/>
          <w:szCs w:val="36"/>
          <w:lang w:eastAsia="zh-CN"/>
        </w:rPr>
      </w:pPr>
    </w:p>
    <w:p w14:paraId="10442F65">
      <w:pPr>
        <w:pStyle w:val="2"/>
        <w:spacing w:before="47" w:line="318" w:lineRule="auto"/>
        <w:ind w:right="19"/>
        <w:jc w:val="both"/>
        <w:rPr>
          <w:spacing w:val="8"/>
          <w:lang w:eastAsia="zh-CN"/>
        </w:rPr>
      </w:pPr>
      <w:r>
        <w:rPr>
          <w:rFonts w:hint="eastAsia"/>
          <w:spacing w:val="8"/>
          <w:lang w:eastAsia="zh-CN"/>
        </w:rPr>
        <w:t>一、领域：传染、感染病</w:t>
      </w:r>
    </w:p>
    <w:p w14:paraId="68DEC5ED">
      <w:pPr>
        <w:pStyle w:val="2"/>
        <w:spacing w:before="47" w:line="318" w:lineRule="auto"/>
        <w:ind w:right="19"/>
        <w:jc w:val="both"/>
        <w:rPr>
          <w:spacing w:val="8"/>
          <w:lang w:eastAsia="zh-CN"/>
        </w:rPr>
      </w:pPr>
      <w:r>
        <w:rPr>
          <w:rFonts w:hint="eastAsia"/>
          <w:spacing w:val="8"/>
          <w:lang w:eastAsia="zh-CN"/>
        </w:rPr>
        <w:t>二、主要研究内容</w:t>
      </w:r>
    </w:p>
    <w:p w14:paraId="0A70548B">
      <w:pPr>
        <w:pStyle w:val="2"/>
        <w:spacing w:before="47" w:line="318" w:lineRule="auto"/>
        <w:ind w:right="19" w:firstLine="652" w:firstLineChars="200"/>
        <w:jc w:val="both"/>
        <w:rPr>
          <w:spacing w:val="8"/>
          <w:lang w:eastAsia="zh-CN"/>
        </w:rPr>
      </w:pPr>
      <w:r>
        <w:rPr>
          <w:rFonts w:hint="eastAsia"/>
          <w:spacing w:val="8"/>
          <w:lang w:eastAsia="zh-CN"/>
        </w:rPr>
        <w:t>（一）评估新的标志物在传染性疾病中的诊断效能和应用；</w:t>
      </w:r>
    </w:p>
    <w:p w14:paraId="4265ED76">
      <w:pPr>
        <w:pStyle w:val="2"/>
        <w:spacing w:before="47" w:line="318" w:lineRule="auto"/>
        <w:ind w:right="19" w:firstLine="652" w:firstLineChars="200"/>
        <w:jc w:val="both"/>
        <w:rPr>
          <w:spacing w:val="8"/>
          <w:lang w:eastAsia="zh-CN"/>
        </w:rPr>
      </w:pPr>
      <w:r>
        <w:rPr>
          <w:rFonts w:hint="eastAsia"/>
          <w:spacing w:val="8"/>
          <w:lang w:eastAsia="zh-CN"/>
        </w:rPr>
        <w:t>（二）该研究可在呼吸道感染、脓毒症、肝炎、脑膜炎等感染性疾病中开展；</w:t>
      </w:r>
    </w:p>
    <w:p w14:paraId="68CAAB1E">
      <w:pPr>
        <w:pStyle w:val="2"/>
        <w:spacing w:before="47" w:line="318" w:lineRule="auto"/>
        <w:ind w:right="19"/>
        <w:jc w:val="both"/>
        <w:rPr>
          <w:spacing w:val="8"/>
          <w:lang w:eastAsia="zh-CN"/>
        </w:rPr>
      </w:pPr>
      <w:r>
        <w:rPr>
          <w:rFonts w:hint="eastAsia"/>
          <w:spacing w:val="8"/>
          <w:lang w:eastAsia="zh-CN"/>
        </w:rPr>
        <w:t>三、项目考核指标（项目执行期内）</w:t>
      </w:r>
    </w:p>
    <w:p w14:paraId="42F6EEF4">
      <w:pPr>
        <w:pStyle w:val="2"/>
        <w:spacing w:before="47" w:line="318" w:lineRule="auto"/>
        <w:ind w:right="19" w:firstLine="652" w:firstLineChars="200"/>
        <w:jc w:val="both"/>
        <w:rPr>
          <w:spacing w:val="8"/>
          <w:lang w:eastAsia="zh-CN"/>
        </w:rPr>
      </w:pPr>
      <w:r>
        <w:rPr>
          <w:rFonts w:hint="eastAsia"/>
          <w:spacing w:val="8"/>
          <w:lang w:eastAsia="zh-CN"/>
        </w:rPr>
        <w:t>1.需在2</w:t>
      </w:r>
      <w:r>
        <w:rPr>
          <w:spacing w:val="8"/>
          <w:lang w:eastAsia="zh-CN"/>
        </w:rPr>
        <w:t>00</w:t>
      </w:r>
      <w:r>
        <w:rPr>
          <w:rFonts w:hint="eastAsia"/>
          <w:spacing w:val="8"/>
          <w:lang w:eastAsia="zh-CN"/>
        </w:rPr>
        <w:t>例以上的受试者中开展；</w:t>
      </w:r>
    </w:p>
    <w:p w14:paraId="49766F52">
      <w:pPr>
        <w:pStyle w:val="2"/>
        <w:spacing w:before="47" w:line="318" w:lineRule="auto"/>
        <w:ind w:right="19" w:firstLine="652" w:firstLineChars="200"/>
        <w:jc w:val="both"/>
        <w:rPr>
          <w:spacing w:val="8"/>
          <w:lang w:eastAsia="zh-CN"/>
        </w:rPr>
      </w:pPr>
      <w:r>
        <w:rPr>
          <w:rFonts w:hint="eastAsia"/>
          <w:spacing w:val="8"/>
          <w:lang w:eastAsia="zh-CN"/>
        </w:rPr>
        <w:t>2.综合评估该标志物在感染性疾病中的诊断效能，生成评估报告。</w:t>
      </w:r>
    </w:p>
    <w:p w14:paraId="0E5FCBEC">
      <w:pPr>
        <w:pStyle w:val="2"/>
        <w:spacing w:before="47" w:line="318" w:lineRule="auto"/>
        <w:ind w:right="19"/>
        <w:jc w:val="both"/>
        <w:rPr>
          <w:spacing w:val="8"/>
          <w:lang w:eastAsia="zh-CN"/>
        </w:rPr>
      </w:pPr>
      <w:r>
        <w:rPr>
          <w:rFonts w:hint="eastAsia"/>
          <w:spacing w:val="8"/>
          <w:lang w:eastAsia="zh-CN"/>
        </w:rPr>
        <w:t>四、项目实施年限：不超过2年</w:t>
      </w:r>
    </w:p>
    <w:p w14:paraId="7DAD44F5">
      <w:pPr>
        <w:pStyle w:val="2"/>
        <w:spacing w:before="47" w:line="318" w:lineRule="auto"/>
        <w:ind w:right="19"/>
        <w:jc w:val="both"/>
        <w:rPr>
          <w:spacing w:val="8"/>
          <w:lang w:eastAsia="zh-CN"/>
        </w:rPr>
      </w:pPr>
      <w:r>
        <w:rPr>
          <w:rFonts w:hint="eastAsia"/>
          <w:spacing w:val="8"/>
          <w:lang w:eastAsia="zh-CN"/>
        </w:rPr>
        <w:t>五、资助金额：不超过10万元</w:t>
      </w:r>
    </w:p>
    <w:p w14:paraId="3F13EC28">
      <w:pPr>
        <w:spacing w:before="91" w:line="159" w:lineRule="auto"/>
        <w:ind w:right="248"/>
        <w:jc w:val="center"/>
        <w:outlineLvl w:val="0"/>
        <w:rPr>
          <w:rFonts w:hint="eastAsia" w:ascii="微软雅黑" w:hAnsi="微软雅黑" w:eastAsia="微软雅黑" w:cs="微软雅黑"/>
          <w:spacing w:val="19"/>
          <w:sz w:val="44"/>
          <w:szCs w:val="44"/>
          <w:lang w:eastAsia="zh-CN"/>
        </w:rPr>
      </w:pPr>
    </w:p>
    <w:p w14:paraId="3C48E64A">
      <w:pPr>
        <w:spacing w:before="91" w:line="159" w:lineRule="auto"/>
        <w:ind w:right="248"/>
        <w:jc w:val="center"/>
        <w:outlineLvl w:val="0"/>
        <w:rPr>
          <w:rFonts w:ascii="微软雅黑" w:hAnsi="微软雅黑" w:eastAsia="微软雅黑" w:cs="微软雅黑"/>
          <w:spacing w:val="19"/>
          <w:sz w:val="44"/>
          <w:szCs w:val="44"/>
          <w:lang w:eastAsia="zh-CN"/>
        </w:rPr>
      </w:pPr>
    </w:p>
    <w:p w14:paraId="4D8ABCB3">
      <w:pPr>
        <w:spacing w:before="91" w:line="159" w:lineRule="auto"/>
        <w:ind w:right="248"/>
        <w:jc w:val="center"/>
        <w:outlineLvl w:val="0"/>
        <w:rPr>
          <w:rFonts w:ascii="微软雅黑" w:hAnsi="微软雅黑" w:eastAsia="微软雅黑" w:cs="微软雅黑"/>
          <w:spacing w:val="19"/>
          <w:sz w:val="44"/>
          <w:szCs w:val="44"/>
          <w:lang w:eastAsia="zh-CN"/>
        </w:rPr>
      </w:pPr>
    </w:p>
    <w:p w14:paraId="75FBC69D">
      <w:pPr>
        <w:spacing w:before="91" w:line="159" w:lineRule="auto"/>
        <w:ind w:right="248"/>
        <w:jc w:val="center"/>
        <w:outlineLvl w:val="0"/>
        <w:rPr>
          <w:rFonts w:ascii="微软雅黑" w:hAnsi="微软雅黑" w:eastAsia="微软雅黑" w:cs="微软雅黑"/>
          <w:spacing w:val="19"/>
          <w:sz w:val="44"/>
          <w:szCs w:val="44"/>
          <w:lang w:eastAsia="zh-CN"/>
        </w:rPr>
      </w:pPr>
    </w:p>
    <w:p w14:paraId="0C3A0726">
      <w:pPr>
        <w:spacing w:before="91" w:line="159" w:lineRule="auto"/>
        <w:ind w:right="248"/>
        <w:jc w:val="center"/>
        <w:outlineLvl w:val="0"/>
        <w:rPr>
          <w:rFonts w:ascii="微软雅黑" w:hAnsi="微软雅黑" w:eastAsia="微软雅黑" w:cs="微软雅黑"/>
          <w:spacing w:val="19"/>
          <w:sz w:val="44"/>
          <w:szCs w:val="44"/>
          <w:lang w:eastAsia="zh-CN"/>
        </w:rPr>
      </w:pPr>
    </w:p>
    <w:p w14:paraId="033B648A">
      <w:pPr>
        <w:spacing w:before="91" w:line="159" w:lineRule="auto"/>
        <w:ind w:right="248"/>
        <w:jc w:val="center"/>
        <w:outlineLvl w:val="0"/>
        <w:rPr>
          <w:rFonts w:ascii="微软雅黑" w:hAnsi="微软雅黑" w:eastAsia="微软雅黑" w:cs="微软雅黑"/>
          <w:spacing w:val="19"/>
          <w:sz w:val="44"/>
          <w:szCs w:val="44"/>
          <w:lang w:eastAsia="zh-CN"/>
        </w:rPr>
      </w:pPr>
    </w:p>
    <w:p w14:paraId="2409432E">
      <w:pPr>
        <w:spacing w:before="91" w:line="159" w:lineRule="auto"/>
        <w:ind w:right="248"/>
        <w:jc w:val="center"/>
        <w:outlineLvl w:val="0"/>
        <w:rPr>
          <w:rFonts w:ascii="微软雅黑" w:hAnsi="微软雅黑" w:eastAsia="微软雅黑" w:cs="微软雅黑"/>
          <w:spacing w:val="19"/>
          <w:sz w:val="44"/>
          <w:szCs w:val="44"/>
          <w:lang w:eastAsia="zh-CN"/>
        </w:rPr>
      </w:pPr>
    </w:p>
    <w:p w14:paraId="43868052">
      <w:pPr>
        <w:spacing w:before="91" w:line="159" w:lineRule="auto"/>
        <w:ind w:right="248"/>
        <w:jc w:val="both"/>
        <w:outlineLvl w:val="0"/>
        <w:rPr>
          <w:rFonts w:ascii="微软雅黑" w:hAnsi="微软雅黑" w:eastAsia="微软雅黑" w:cs="微软雅黑"/>
          <w:spacing w:val="19"/>
          <w:sz w:val="44"/>
          <w:szCs w:val="44"/>
          <w:lang w:eastAsia="zh-CN"/>
        </w:rPr>
      </w:pPr>
    </w:p>
    <w:p w14:paraId="05C7EAE9">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02412004</w:t>
      </w:r>
      <w:r>
        <w:rPr>
          <w:rFonts w:hint="eastAsia"/>
          <w:b/>
          <w:bCs/>
          <w:spacing w:val="8"/>
          <w:sz w:val="36"/>
          <w:szCs w:val="36"/>
          <w:lang w:eastAsia="zh-CN"/>
        </w:rPr>
        <w:t xml:space="preserve"> 消化道病原体多重PCR核酸检测系统构建相关研究</w:t>
      </w:r>
    </w:p>
    <w:p w14:paraId="543B14C4">
      <w:pPr>
        <w:pStyle w:val="2"/>
        <w:spacing w:before="47" w:line="318" w:lineRule="auto"/>
        <w:ind w:right="19"/>
        <w:jc w:val="both"/>
        <w:rPr>
          <w:rFonts w:hint="eastAsia"/>
          <w:spacing w:val="8"/>
          <w:lang w:eastAsia="zh-CN"/>
        </w:rPr>
      </w:pPr>
    </w:p>
    <w:p w14:paraId="37CB5BFD">
      <w:pPr>
        <w:pStyle w:val="2"/>
        <w:spacing w:before="47" w:line="318" w:lineRule="auto"/>
        <w:ind w:right="19"/>
        <w:jc w:val="both"/>
        <w:rPr>
          <w:spacing w:val="8"/>
          <w:lang w:eastAsia="zh-CN"/>
        </w:rPr>
      </w:pPr>
      <w:r>
        <w:rPr>
          <w:rFonts w:hint="eastAsia"/>
          <w:spacing w:val="8"/>
          <w:lang w:eastAsia="zh-CN"/>
        </w:rPr>
        <w:t>一、领域：微生物、分子</w:t>
      </w:r>
    </w:p>
    <w:p w14:paraId="76E7B8D4">
      <w:pPr>
        <w:pStyle w:val="2"/>
        <w:spacing w:before="47" w:line="318" w:lineRule="auto"/>
        <w:ind w:right="19"/>
        <w:jc w:val="both"/>
        <w:rPr>
          <w:spacing w:val="8"/>
          <w:lang w:eastAsia="zh-CN"/>
        </w:rPr>
      </w:pPr>
      <w:r>
        <w:rPr>
          <w:rFonts w:hint="eastAsia"/>
          <w:spacing w:val="8"/>
          <w:lang w:eastAsia="zh-CN"/>
        </w:rPr>
        <w:t>二、主要研究内容：</w:t>
      </w:r>
    </w:p>
    <w:p w14:paraId="1E525CF1">
      <w:pPr>
        <w:pStyle w:val="2"/>
        <w:spacing w:before="47" w:line="318" w:lineRule="auto"/>
        <w:ind w:right="19" w:firstLine="652" w:firstLineChars="200"/>
        <w:jc w:val="both"/>
        <w:rPr>
          <w:spacing w:val="8"/>
          <w:lang w:eastAsia="zh-CN"/>
        </w:rPr>
      </w:pPr>
      <w:r>
        <w:rPr>
          <w:rFonts w:hint="eastAsia"/>
          <w:spacing w:val="8"/>
          <w:lang w:eastAsia="zh-CN"/>
        </w:rPr>
        <w:t>（一）基于文献资料或地区今年流行趋势了解呼吸道病原体的基因特征，确定可作为检测的靶标基因。</w:t>
      </w:r>
    </w:p>
    <w:p w14:paraId="548DFF01">
      <w:pPr>
        <w:pStyle w:val="2"/>
        <w:spacing w:before="47" w:line="318" w:lineRule="auto"/>
        <w:ind w:right="19" w:firstLine="652" w:firstLineChars="200"/>
        <w:jc w:val="both"/>
        <w:rPr>
          <w:spacing w:val="8"/>
          <w:lang w:eastAsia="zh-CN"/>
        </w:rPr>
      </w:pPr>
      <w:r>
        <w:rPr>
          <w:rFonts w:hint="eastAsia"/>
          <w:spacing w:val="8"/>
          <w:lang w:eastAsia="zh-CN"/>
        </w:rPr>
        <w:t>（二）根据选定的靶标基因，设计特异性引物和荧光探针，构建多重</w:t>
      </w:r>
      <w:r>
        <w:rPr>
          <w:spacing w:val="8"/>
          <w:lang w:eastAsia="zh-CN"/>
        </w:rPr>
        <w:t>荧光PCR反应体系。</w:t>
      </w:r>
    </w:p>
    <w:p w14:paraId="36A8A646">
      <w:pPr>
        <w:pStyle w:val="2"/>
        <w:spacing w:before="47" w:line="318" w:lineRule="auto"/>
        <w:ind w:right="19" w:firstLine="652" w:firstLineChars="200"/>
        <w:jc w:val="both"/>
        <w:rPr>
          <w:spacing w:val="8"/>
          <w:lang w:eastAsia="zh-CN"/>
        </w:rPr>
      </w:pPr>
      <w:r>
        <w:rPr>
          <w:rFonts w:hint="eastAsia"/>
          <w:spacing w:val="8"/>
          <w:lang w:eastAsia="zh-CN"/>
        </w:rPr>
        <w:t>（三）对多重</w:t>
      </w:r>
      <w:r>
        <w:rPr>
          <w:spacing w:val="8"/>
          <w:lang w:eastAsia="zh-CN"/>
        </w:rPr>
        <w:t>荧光PCR反应体系</w:t>
      </w:r>
      <w:r>
        <w:rPr>
          <w:rFonts w:hint="eastAsia"/>
          <w:spacing w:val="8"/>
          <w:lang w:eastAsia="zh-CN"/>
        </w:rPr>
        <w:t>进行性能评估，并进行临床样本的检测与验证。</w:t>
      </w:r>
    </w:p>
    <w:p w14:paraId="3338AF1B">
      <w:pPr>
        <w:pStyle w:val="2"/>
        <w:spacing w:before="47" w:line="318" w:lineRule="auto"/>
        <w:ind w:right="19"/>
        <w:jc w:val="both"/>
        <w:rPr>
          <w:spacing w:val="8"/>
          <w:lang w:eastAsia="zh-CN"/>
        </w:rPr>
      </w:pPr>
      <w:r>
        <w:rPr>
          <w:rFonts w:hint="eastAsia"/>
          <w:spacing w:val="8"/>
          <w:lang w:eastAsia="zh-CN"/>
        </w:rPr>
        <w:t>三、项目考核指标：</w:t>
      </w:r>
    </w:p>
    <w:p w14:paraId="25AC25B2">
      <w:pPr>
        <w:pStyle w:val="2"/>
        <w:spacing w:before="47" w:line="318" w:lineRule="auto"/>
        <w:ind w:right="19" w:firstLine="652" w:firstLineChars="200"/>
        <w:jc w:val="both"/>
        <w:rPr>
          <w:spacing w:val="8"/>
          <w:lang w:eastAsia="zh-CN"/>
        </w:rPr>
      </w:pPr>
      <w:r>
        <w:rPr>
          <w:rFonts w:hint="eastAsia"/>
          <w:spacing w:val="8"/>
          <w:lang w:eastAsia="zh-CN"/>
        </w:rPr>
        <w:t>1</w:t>
      </w:r>
      <w:r>
        <w:rPr>
          <w:spacing w:val="8"/>
          <w:lang w:eastAsia="zh-CN"/>
        </w:rPr>
        <w:t>.</w:t>
      </w:r>
      <w:r>
        <w:rPr>
          <w:rFonts w:hint="eastAsia"/>
          <w:spacing w:val="8"/>
          <w:lang w:eastAsia="zh-CN"/>
        </w:rPr>
        <w:t>完成呼吸道病原体的常见类型与基因特征，并构建特征性病原体的多重荧光PCR反应体系。</w:t>
      </w:r>
    </w:p>
    <w:p w14:paraId="18CE7E1E">
      <w:pPr>
        <w:pStyle w:val="2"/>
        <w:spacing w:before="47" w:line="318" w:lineRule="auto"/>
        <w:ind w:right="19" w:firstLine="652" w:firstLineChars="200"/>
        <w:jc w:val="both"/>
        <w:rPr>
          <w:spacing w:val="8"/>
          <w:lang w:eastAsia="zh-CN"/>
        </w:rPr>
      </w:pPr>
      <w:r>
        <w:rPr>
          <w:rFonts w:hint="eastAsia"/>
          <w:spacing w:val="8"/>
          <w:lang w:eastAsia="zh-CN"/>
        </w:rPr>
        <w:t>2</w:t>
      </w:r>
      <w:r>
        <w:rPr>
          <w:spacing w:val="8"/>
          <w:lang w:eastAsia="zh-CN"/>
        </w:rPr>
        <w:t>.</w:t>
      </w:r>
      <w:r>
        <w:rPr>
          <w:rFonts w:hint="eastAsia"/>
          <w:spacing w:val="8"/>
          <w:lang w:eastAsia="zh-CN"/>
        </w:rPr>
        <w:t>对以上体系进行性能验证及临床样本测试。</w:t>
      </w:r>
    </w:p>
    <w:p w14:paraId="338ED646">
      <w:pPr>
        <w:pStyle w:val="2"/>
        <w:spacing w:before="47" w:line="318" w:lineRule="auto"/>
        <w:ind w:right="19" w:firstLine="652" w:firstLineChars="200"/>
        <w:jc w:val="both"/>
        <w:rPr>
          <w:spacing w:val="8"/>
          <w:lang w:eastAsia="zh-CN"/>
        </w:rPr>
      </w:pPr>
      <w:r>
        <w:rPr>
          <w:rFonts w:hint="eastAsia"/>
          <w:spacing w:val="8"/>
          <w:lang w:eastAsia="zh-CN"/>
        </w:rPr>
        <w:t>3</w:t>
      </w:r>
      <w:r>
        <w:rPr>
          <w:spacing w:val="8"/>
          <w:lang w:eastAsia="zh-CN"/>
        </w:rPr>
        <w:t>.</w:t>
      </w:r>
      <w:r>
        <w:rPr>
          <w:rFonts w:hint="eastAsia"/>
          <w:spacing w:val="8"/>
          <w:lang w:eastAsia="zh-CN"/>
        </w:rPr>
        <w:t>发表核心期刊文章1—2篇。</w:t>
      </w:r>
    </w:p>
    <w:p w14:paraId="527F02D0">
      <w:pPr>
        <w:pStyle w:val="2"/>
        <w:spacing w:before="47" w:line="318" w:lineRule="auto"/>
        <w:ind w:right="19"/>
        <w:jc w:val="both"/>
        <w:rPr>
          <w:spacing w:val="8"/>
          <w:lang w:eastAsia="zh-CN"/>
        </w:rPr>
      </w:pPr>
      <w:r>
        <w:rPr>
          <w:rFonts w:hint="eastAsia"/>
          <w:spacing w:val="8"/>
          <w:lang w:eastAsia="zh-CN"/>
        </w:rPr>
        <w:t>四、项目实施年限：不超过2年</w:t>
      </w:r>
    </w:p>
    <w:p w14:paraId="0DE16E5C">
      <w:pPr>
        <w:pStyle w:val="2"/>
        <w:spacing w:before="47" w:line="318" w:lineRule="auto"/>
        <w:ind w:right="19"/>
        <w:jc w:val="both"/>
        <w:rPr>
          <w:spacing w:val="8"/>
          <w:lang w:eastAsia="zh-CN"/>
        </w:rPr>
      </w:pPr>
      <w:r>
        <w:rPr>
          <w:rFonts w:hint="eastAsia"/>
          <w:spacing w:val="8"/>
          <w:lang w:eastAsia="zh-CN"/>
        </w:rPr>
        <w:t>五、资助金额：不超过</w:t>
      </w:r>
      <w:r>
        <w:rPr>
          <w:spacing w:val="8"/>
          <w:lang w:eastAsia="zh-CN"/>
        </w:rPr>
        <w:t>100</w:t>
      </w:r>
      <w:r>
        <w:rPr>
          <w:rFonts w:hint="eastAsia"/>
          <w:spacing w:val="8"/>
          <w:lang w:eastAsia="zh-CN"/>
        </w:rPr>
        <w:t>万元</w:t>
      </w:r>
    </w:p>
    <w:p w14:paraId="5679208A">
      <w:pPr>
        <w:spacing w:before="91" w:line="159" w:lineRule="auto"/>
        <w:ind w:right="248"/>
        <w:jc w:val="center"/>
        <w:outlineLvl w:val="0"/>
        <w:rPr>
          <w:rFonts w:ascii="微软雅黑" w:hAnsi="微软雅黑" w:eastAsia="微软雅黑" w:cs="微软雅黑"/>
          <w:spacing w:val="19"/>
          <w:sz w:val="44"/>
          <w:szCs w:val="44"/>
          <w:lang w:eastAsia="zh-CN"/>
        </w:rPr>
      </w:pPr>
    </w:p>
    <w:p w14:paraId="42DA1EA6">
      <w:pPr>
        <w:spacing w:before="91" w:line="159" w:lineRule="auto"/>
        <w:ind w:right="248"/>
        <w:jc w:val="center"/>
        <w:outlineLvl w:val="0"/>
        <w:rPr>
          <w:rFonts w:ascii="微软雅黑" w:hAnsi="微软雅黑" w:eastAsia="微软雅黑" w:cs="微软雅黑"/>
          <w:spacing w:val="19"/>
          <w:sz w:val="44"/>
          <w:szCs w:val="44"/>
          <w:lang w:eastAsia="zh-CN"/>
        </w:rPr>
      </w:pPr>
    </w:p>
    <w:p w14:paraId="4C7C4CFE">
      <w:pPr>
        <w:spacing w:before="91" w:line="159" w:lineRule="auto"/>
        <w:ind w:right="248"/>
        <w:jc w:val="center"/>
        <w:outlineLvl w:val="0"/>
        <w:rPr>
          <w:rFonts w:ascii="微软雅黑" w:hAnsi="微软雅黑" w:eastAsia="微软雅黑" w:cs="微软雅黑"/>
          <w:spacing w:val="19"/>
          <w:sz w:val="44"/>
          <w:szCs w:val="44"/>
          <w:lang w:eastAsia="zh-CN"/>
        </w:rPr>
      </w:pPr>
    </w:p>
    <w:p w14:paraId="445270CD">
      <w:pPr>
        <w:spacing w:before="91" w:line="159" w:lineRule="auto"/>
        <w:ind w:right="248"/>
        <w:jc w:val="center"/>
        <w:outlineLvl w:val="0"/>
        <w:rPr>
          <w:rFonts w:ascii="微软雅黑" w:hAnsi="微软雅黑" w:eastAsia="微软雅黑" w:cs="微软雅黑"/>
          <w:spacing w:val="19"/>
          <w:sz w:val="44"/>
          <w:szCs w:val="44"/>
          <w:lang w:eastAsia="zh-CN"/>
        </w:rPr>
      </w:pPr>
    </w:p>
    <w:p w14:paraId="659DDC31">
      <w:pPr>
        <w:spacing w:before="91" w:line="159" w:lineRule="auto"/>
        <w:ind w:right="248"/>
        <w:jc w:val="center"/>
        <w:outlineLvl w:val="0"/>
        <w:rPr>
          <w:rFonts w:ascii="微软雅黑" w:hAnsi="微软雅黑" w:eastAsia="微软雅黑" w:cs="微软雅黑"/>
          <w:spacing w:val="19"/>
          <w:sz w:val="44"/>
          <w:szCs w:val="44"/>
          <w:lang w:eastAsia="zh-CN"/>
        </w:rPr>
      </w:pPr>
    </w:p>
    <w:p w14:paraId="175EAFE3">
      <w:pPr>
        <w:spacing w:before="91" w:line="159" w:lineRule="auto"/>
        <w:ind w:right="248"/>
        <w:jc w:val="both"/>
        <w:outlineLvl w:val="0"/>
        <w:rPr>
          <w:rFonts w:ascii="微软雅黑" w:hAnsi="微软雅黑" w:eastAsia="微软雅黑" w:cs="微软雅黑"/>
          <w:spacing w:val="19"/>
          <w:sz w:val="44"/>
          <w:szCs w:val="44"/>
          <w:lang w:eastAsia="zh-CN"/>
        </w:rPr>
      </w:pPr>
    </w:p>
    <w:p w14:paraId="709E48EE">
      <w:pPr>
        <w:pStyle w:val="2"/>
        <w:spacing w:line="319" w:lineRule="auto"/>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02412005 </w:t>
      </w:r>
      <w:r>
        <w:rPr>
          <w:rFonts w:hint="eastAsia"/>
          <w:b/>
          <w:bCs/>
          <w:spacing w:val="8"/>
          <w:sz w:val="36"/>
          <w:szCs w:val="36"/>
          <w:lang w:eastAsia="zh-CN"/>
        </w:rPr>
        <w:t>流感嗜血杆菌和卡他莫拉菌抗菌药物敏感性相关临床研究</w:t>
      </w:r>
    </w:p>
    <w:p w14:paraId="52D4905B">
      <w:pPr>
        <w:pStyle w:val="2"/>
        <w:spacing w:line="319" w:lineRule="auto"/>
        <w:jc w:val="center"/>
        <w:rPr>
          <w:rFonts w:hint="eastAsia"/>
          <w:b/>
          <w:bCs/>
          <w:spacing w:val="8"/>
          <w:sz w:val="36"/>
          <w:szCs w:val="36"/>
          <w:lang w:eastAsia="zh-CN"/>
        </w:rPr>
      </w:pPr>
    </w:p>
    <w:p w14:paraId="13A7887A">
      <w:pPr>
        <w:pStyle w:val="2"/>
        <w:spacing w:before="47" w:line="318" w:lineRule="auto"/>
        <w:ind w:right="19"/>
        <w:jc w:val="both"/>
        <w:rPr>
          <w:rFonts w:hint="eastAsia"/>
          <w:spacing w:val="8"/>
          <w:lang w:eastAsia="zh-CN"/>
        </w:rPr>
      </w:pPr>
      <w:r>
        <w:rPr>
          <w:rFonts w:hint="eastAsia"/>
          <w:spacing w:val="8"/>
          <w:lang w:eastAsia="zh-CN"/>
        </w:rPr>
        <w:t>一、研究领域：微生物、药敏</w:t>
      </w:r>
    </w:p>
    <w:p w14:paraId="33144FB7">
      <w:pPr>
        <w:pStyle w:val="2"/>
        <w:spacing w:before="47" w:line="318" w:lineRule="auto"/>
        <w:ind w:right="19"/>
        <w:jc w:val="both"/>
        <w:rPr>
          <w:spacing w:val="8"/>
          <w:lang w:eastAsia="zh-CN"/>
        </w:rPr>
      </w:pPr>
      <w:r>
        <w:rPr>
          <w:rFonts w:hint="eastAsia"/>
          <w:spacing w:val="8"/>
          <w:lang w:eastAsia="zh-CN"/>
        </w:rPr>
        <w:t>二、主要研究内容</w:t>
      </w:r>
    </w:p>
    <w:p w14:paraId="19514E4F">
      <w:pPr>
        <w:pStyle w:val="2"/>
        <w:spacing w:before="47" w:line="318" w:lineRule="auto"/>
        <w:ind w:right="19" w:firstLine="652" w:firstLineChars="200"/>
        <w:jc w:val="both"/>
        <w:rPr>
          <w:rFonts w:hint="eastAsia"/>
          <w:spacing w:val="8"/>
          <w:lang w:eastAsia="zh-CN"/>
        </w:rPr>
      </w:pPr>
      <w:r>
        <w:rPr>
          <w:rFonts w:hint="eastAsia"/>
          <w:spacing w:val="8"/>
          <w:lang w:eastAsia="zh-CN"/>
        </w:rPr>
        <w:t>（一）感染性细菌药敏检测试剂盒的评估与比较：</w:t>
      </w:r>
    </w:p>
    <w:p w14:paraId="37ADE560">
      <w:pPr>
        <w:pStyle w:val="2"/>
        <w:spacing w:before="47" w:line="318" w:lineRule="auto"/>
        <w:ind w:right="19" w:firstLine="652" w:firstLineChars="200"/>
        <w:jc w:val="both"/>
        <w:rPr>
          <w:rFonts w:hint="eastAsia"/>
          <w:spacing w:val="8"/>
          <w:lang w:eastAsia="zh-CN"/>
        </w:rPr>
      </w:pPr>
      <w:r>
        <w:rPr>
          <w:rFonts w:hint="eastAsia"/>
          <w:spacing w:val="8"/>
          <w:lang w:eastAsia="zh-CN"/>
        </w:rPr>
        <w:t>（二）菌种分布与耐药情况分析：分析地区感染性细菌在不同标本来源、不同年龄、性别和科室的菌种分布与耐药情况，为临床科室经验用药提供科学依据与理论支持。</w:t>
      </w:r>
    </w:p>
    <w:p w14:paraId="6807E9F0">
      <w:pPr>
        <w:pStyle w:val="2"/>
        <w:spacing w:before="47" w:line="318" w:lineRule="auto"/>
        <w:ind w:right="19"/>
        <w:jc w:val="both"/>
        <w:rPr>
          <w:rFonts w:hint="eastAsia"/>
          <w:spacing w:val="8"/>
          <w:lang w:eastAsia="zh-CN"/>
        </w:rPr>
      </w:pPr>
      <w:r>
        <w:rPr>
          <w:rFonts w:hint="eastAsia"/>
          <w:spacing w:val="8"/>
          <w:lang w:eastAsia="zh-CN"/>
        </w:rPr>
        <w:t>三、主要考核指标</w:t>
      </w:r>
    </w:p>
    <w:p w14:paraId="1BDDE1A8">
      <w:pPr>
        <w:pStyle w:val="2"/>
        <w:spacing w:before="47" w:line="318" w:lineRule="auto"/>
        <w:ind w:right="19" w:firstLine="652" w:firstLineChars="200"/>
        <w:jc w:val="both"/>
        <w:rPr>
          <w:rFonts w:hint="eastAsia"/>
          <w:spacing w:val="8"/>
          <w:lang w:eastAsia="zh-CN"/>
        </w:rPr>
      </w:pPr>
      <w:r>
        <w:rPr>
          <w:rFonts w:hint="eastAsia"/>
          <w:spacing w:val="8"/>
          <w:lang w:eastAsia="zh-CN"/>
        </w:rPr>
        <w:t>1.比较不同试剂盒一致性</w:t>
      </w:r>
    </w:p>
    <w:p w14:paraId="3F27829E">
      <w:pPr>
        <w:pStyle w:val="2"/>
        <w:spacing w:before="47" w:line="318" w:lineRule="auto"/>
        <w:ind w:right="19" w:firstLine="652" w:firstLineChars="200"/>
        <w:jc w:val="both"/>
        <w:rPr>
          <w:rFonts w:hint="eastAsia"/>
          <w:spacing w:val="8"/>
          <w:lang w:eastAsia="zh-CN"/>
        </w:rPr>
      </w:pPr>
      <w:r>
        <w:rPr>
          <w:rFonts w:hint="eastAsia"/>
          <w:spacing w:val="8"/>
          <w:lang w:eastAsia="zh-CN"/>
        </w:rPr>
        <w:t>2.操作便利性</w:t>
      </w:r>
    </w:p>
    <w:p w14:paraId="793275C6">
      <w:pPr>
        <w:pStyle w:val="2"/>
        <w:spacing w:before="47" w:line="318" w:lineRule="auto"/>
        <w:ind w:right="19" w:firstLine="652" w:firstLineChars="200"/>
        <w:jc w:val="both"/>
        <w:rPr>
          <w:rFonts w:hint="eastAsia"/>
          <w:spacing w:val="8"/>
          <w:lang w:eastAsia="zh-CN"/>
        </w:rPr>
      </w:pPr>
      <w:r>
        <w:rPr>
          <w:rFonts w:hint="eastAsia"/>
          <w:spacing w:val="8"/>
          <w:lang w:eastAsia="zh-CN"/>
        </w:rPr>
        <w:t>3.结果准确性</w:t>
      </w:r>
    </w:p>
    <w:p w14:paraId="0B0EE8A5">
      <w:pPr>
        <w:pStyle w:val="2"/>
        <w:spacing w:before="47" w:line="318" w:lineRule="auto"/>
        <w:ind w:right="19" w:firstLine="652" w:firstLineChars="200"/>
        <w:jc w:val="both"/>
        <w:rPr>
          <w:rFonts w:hint="eastAsia"/>
          <w:spacing w:val="8"/>
          <w:lang w:eastAsia="zh-CN"/>
        </w:rPr>
      </w:pPr>
      <w:r>
        <w:rPr>
          <w:rFonts w:hint="eastAsia"/>
          <w:spacing w:val="8"/>
          <w:lang w:eastAsia="zh-CN"/>
        </w:rPr>
        <w:t>4.菌种分布</w:t>
      </w:r>
    </w:p>
    <w:p w14:paraId="24589D62">
      <w:pPr>
        <w:pStyle w:val="2"/>
        <w:spacing w:before="47" w:line="318" w:lineRule="auto"/>
        <w:ind w:right="19" w:firstLine="652" w:firstLineChars="200"/>
        <w:jc w:val="both"/>
        <w:rPr>
          <w:rFonts w:hint="eastAsia"/>
          <w:spacing w:val="8"/>
          <w:lang w:eastAsia="zh-CN"/>
        </w:rPr>
      </w:pPr>
      <w:r>
        <w:rPr>
          <w:rFonts w:hint="eastAsia"/>
          <w:spacing w:val="8"/>
          <w:lang w:eastAsia="zh-CN"/>
        </w:rPr>
        <w:t>5.耐药性分析</w:t>
      </w:r>
    </w:p>
    <w:p w14:paraId="5594067B">
      <w:pPr>
        <w:pStyle w:val="2"/>
        <w:spacing w:before="47" w:line="318" w:lineRule="auto"/>
        <w:ind w:right="19"/>
        <w:jc w:val="both"/>
        <w:rPr>
          <w:spacing w:val="8"/>
          <w:lang w:eastAsia="zh-CN"/>
        </w:rPr>
      </w:pPr>
      <w:r>
        <w:rPr>
          <w:rFonts w:hint="eastAsia"/>
          <w:spacing w:val="8"/>
          <w:lang w:eastAsia="zh-CN"/>
        </w:rPr>
        <w:t>四、研究周期：不超过2年</w:t>
      </w:r>
    </w:p>
    <w:p w14:paraId="4867CBCF">
      <w:pPr>
        <w:pStyle w:val="2"/>
        <w:spacing w:before="47" w:line="318" w:lineRule="auto"/>
        <w:ind w:right="19"/>
        <w:jc w:val="both"/>
        <w:rPr>
          <w:spacing w:val="8"/>
          <w:lang w:eastAsia="zh-CN"/>
        </w:rPr>
      </w:pPr>
      <w:r>
        <w:rPr>
          <w:rFonts w:hint="eastAsia"/>
          <w:spacing w:val="8"/>
          <w:lang w:eastAsia="zh-CN"/>
        </w:rPr>
        <w:t>五、资助金额：不超过10万元</w:t>
      </w:r>
    </w:p>
    <w:p w14:paraId="4A5F59CB">
      <w:pPr>
        <w:pStyle w:val="2"/>
        <w:spacing w:before="47" w:line="318" w:lineRule="auto"/>
        <w:ind w:right="19"/>
        <w:jc w:val="both"/>
        <w:rPr>
          <w:spacing w:val="8"/>
          <w:lang w:eastAsia="zh-CN"/>
        </w:rPr>
      </w:pPr>
    </w:p>
    <w:p w14:paraId="26B841FE">
      <w:pPr>
        <w:pStyle w:val="2"/>
        <w:spacing w:before="47" w:line="318" w:lineRule="auto"/>
        <w:ind w:right="19"/>
        <w:jc w:val="both"/>
        <w:rPr>
          <w:spacing w:val="8"/>
          <w:lang w:eastAsia="zh-CN"/>
        </w:rPr>
      </w:pPr>
    </w:p>
    <w:p w14:paraId="445C0017">
      <w:pPr>
        <w:pStyle w:val="2"/>
        <w:spacing w:before="47" w:line="318" w:lineRule="auto"/>
        <w:ind w:right="19"/>
        <w:jc w:val="both"/>
        <w:rPr>
          <w:spacing w:val="8"/>
          <w:lang w:eastAsia="zh-CN"/>
        </w:rPr>
      </w:pPr>
    </w:p>
    <w:p w14:paraId="6682D516">
      <w:pPr>
        <w:pStyle w:val="2"/>
        <w:spacing w:before="47" w:line="318" w:lineRule="auto"/>
        <w:ind w:right="19"/>
        <w:jc w:val="both"/>
        <w:rPr>
          <w:spacing w:val="8"/>
          <w:lang w:eastAsia="zh-CN"/>
        </w:rPr>
      </w:pPr>
    </w:p>
    <w:p w14:paraId="004A9A89">
      <w:pPr>
        <w:pStyle w:val="2"/>
        <w:spacing w:before="47" w:line="318" w:lineRule="auto"/>
        <w:ind w:right="19"/>
        <w:jc w:val="both"/>
        <w:rPr>
          <w:spacing w:val="8"/>
          <w:lang w:eastAsia="zh-CN"/>
        </w:rPr>
      </w:pPr>
    </w:p>
    <w:p w14:paraId="54F4EAA9">
      <w:pPr>
        <w:pStyle w:val="2"/>
        <w:spacing w:before="47" w:line="318" w:lineRule="auto"/>
        <w:ind w:right="19"/>
        <w:jc w:val="both"/>
        <w:rPr>
          <w:spacing w:val="8"/>
          <w:lang w:eastAsia="zh-CN"/>
        </w:rPr>
      </w:pPr>
    </w:p>
    <w:p w14:paraId="5CDC77BA">
      <w:pPr>
        <w:pStyle w:val="2"/>
        <w:spacing w:before="47" w:line="318" w:lineRule="auto"/>
        <w:ind w:right="19"/>
        <w:jc w:val="both"/>
        <w:rPr>
          <w:spacing w:val="8"/>
          <w:lang w:eastAsia="zh-CN"/>
        </w:rPr>
      </w:pPr>
    </w:p>
    <w:p w14:paraId="3AA86BFD">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02412006 </w:t>
      </w:r>
      <w:r>
        <w:rPr>
          <w:rFonts w:hint="eastAsia"/>
          <w:b/>
          <w:bCs/>
          <w:spacing w:val="8"/>
          <w:sz w:val="36"/>
          <w:szCs w:val="36"/>
          <w:lang w:eastAsia="zh-CN"/>
        </w:rPr>
        <w:t>不同治疗方式对膝骨关节炎治疗疗效评估相关性研究</w:t>
      </w:r>
    </w:p>
    <w:p w14:paraId="55A15921">
      <w:pPr>
        <w:pStyle w:val="2"/>
        <w:spacing w:before="47" w:line="318" w:lineRule="auto"/>
        <w:ind w:right="19"/>
        <w:jc w:val="both"/>
        <w:rPr>
          <w:rFonts w:hint="eastAsia"/>
          <w:spacing w:val="8"/>
          <w:lang w:eastAsia="zh-CN"/>
        </w:rPr>
      </w:pPr>
    </w:p>
    <w:p w14:paraId="08603A0B">
      <w:pPr>
        <w:pStyle w:val="2"/>
        <w:spacing w:before="47" w:line="318" w:lineRule="auto"/>
        <w:ind w:right="19"/>
        <w:jc w:val="both"/>
        <w:rPr>
          <w:rFonts w:hint="eastAsia"/>
          <w:spacing w:val="8"/>
          <w:lang w:eastAsia="zh-CN"/>
        </w:rPr>
      </w:pPr>
      <w:r>
        <w:rPr>
          <w:rFonts w:hint="eastAsia"/>
          <w:spacing w:val="8"/>
          <w:lang w:eastAsia="zh-CN"/>
        </w:rPr>
        <w:t>一、领域：膝骨关节炎治疗</w:t>
      </w:r>
    </w:p>
    <w:p w14:paraId="71102E27">
      <w:pPr>
        <w:pStyle w:val="2"/>
        <w:spacing w:before="47" w:line="318" w:lineRule="auto"/>
        <w:ind w:right="19"/>
        <w:jc w:val="both"/>
        <w:rPr>
          <w:rFonts w:hint="eastAsia"/>
          <w:spacing w:val="8"/>
          <w:lang w:eastAsia="zh-CN"/>
        </w:rPr>
      </w:pPr>
      <w:r>
        <w:rPr>
          <w:rFonts w:hint="eastAsia"/>
          <w:spacing w:val="8"/>
          <w:lang w:eastAsia="zh-CN"/>
        </w:rPr>
        <w:t>二、主要研究内容</w:t>
      </w:r>
    </w:p>
    <w:p w14:paraId="0A76C6C9">
      <w:pPr>
        <w:pStyle w:val="2"/>
        <w:spacing w:before="47" w:line="318" w:lineRule="auto"/>
        <w:ind w:right="19" w:firstLine="652" w:firstLineChars="200"/>
        <w:jc w:val="both"/>
        <w:rPr>
          <w:rFonts w:hint="eastAsia"/>
          <w:spacing w:val="8"/>
          <w:lang w:eastAsia="zh-CN"/>
        </w:rPr>
      </w:pPr>
      <w:r>
        <w:rPr>
          <w:rFonts w:hint="eastAsia"/>
          <w:spacing w:val="8"/>
          <w:lang w:eastAsia="zh-CN"/>
        </w:rPr>
        <w:t>（一）通过改良版 Lequesne MG 行为学评估法、膝关节组织病理学检测、膝关节液炎性因子水平检测等指标，比较PRP注射治疗技术和中药熏蒸技术结合与传统单纯性注射PRP在膝骨关节炎上的疗效差异；</w:t>
      </w:r>
    </w:p>
    <w:p w14:paraId="7418C877">
      <w:pPr>
        <w:pStyle w:val="2"/>
        <w:spacing w:before="47" w:line="318" w:lineRule="auto"/>
        <w:ind w:right="19" w:firstLine="652" w:firstLineChars="200"/>
        <w:jc w:val="both"/>
        <w:rPr>
          <w:rFonts w:hint="eastAsia"/>
          <w:spacing w:val="8"/>
          <w:lang w:eastAsia="zh-CN"/>
        </w:rPr>
      </w:pPr>
      <w:r>
        <w:rPr>
          <w:rFonts w:hint="eastAsia"/>
          <w:spacing w:val="8"/>
          <w:lang w:eastAsia="zh-CN"/>
        </w:rPr>
        <w:t>（二）比较注射不同频次PRP大鼠膝骨关节炎上的疗效差异，明确PRP的最佳注射频次。</w:t>
      </w:r>
    </w:p>
    <w:p w14:paraId="305E77D1">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022130CC">
      <w:pPr>
        <w:pStyle w:val="2"/>
        <w:spacing w:before="47" w:line="318" w:lineRule="auto"/>
        <w:ind w:right="19" w:firstLine="652" w:firstLineChars="200"/>
        <w:jc w:val="both"/>
        <w:rPr>
          <w:rFonts w:hint="eastAsia"/>
          <w:spacing w:val="8"/>
          <w:lang w:eastAsia="zh-CN"/>
        </w:rPr>
      </w:pPr>
      <w:r>
        <w:rPr>
          <w:rFonts w:hint="eastAsia"/>
          <w:spacing w:val="8"/>
          <w:lang w:eastAsia="zh-CN"/>
        </w:rPr>
        <w:t>1.确认和评价富血小板血浆PRP 配合海桐皮汤熏蒸疗法在膝骨关节炎的疗效；</w:t>
      </w:r>
    </w:p>
    <w:p w14:paraId="31856B1B">
      <w:pPr>
        <w:pStyle w:val="2"/>
        <w:spacing w:before="47" w:line="318" w:lineRule="auto"/>
        <w:ind w:right="19" w:firstLine="652" w:firstLineChars="200"/>
        <w:jc w:val="both"/>
        <w:rPr>
          <w:rFonts w:hint="eastAsia"/>
          <w:spacing w:val="8"/>
          <w:lang w:eastAsia="zh-CN"/>
        </w:rPr>
      </w:pPr>
      <w:r>
        <w:rPr>
          <w:rFonts w:hint="eastAsia"/>
          <w:spacing w:val="8"/>
          <w:lang w:eastAsia="zh-CN"/>
        </w:rPr>
        <w:t>2.确定PRP 治疗膝骨关节炎的最佳注射频次；</w:t>
      </w:r>
    </w:p>
    <w:p w14:paraId="086FD9F8">
      <w:pPr>
        <w:pStyle w:val="2"/>
        <w:spacing w:before="47" w:line="318" w:lineRule="auto"/>
        <w:ind w:right="19" w:firstLine="652" w:firstLineChars="200"/>
        <w:jc w:val="both"/>
        <w:rPr>
          <w:rFonts w:hint="eastAsia"/>
          <w:spacing w:val="8"/>
          <w:lang w:eastAsia="zh-CN"/>
        </w:rPr>
      </w:pPr>
      <w:r>
        <w:rPr>
          <w:rFonts w:hint="eastAsia"/>
          <w:spacing w:val="8"/>
          <w:lang w:eastAsia="zh-CN"/>
        </w:rPr>
        <w:t>3.总结课题，撰写研究报告，发表SCI论文一篇。</w:t>
      </w:r>
    </w:p>
    <w:p w14:paraId="3E1CFA73">
      <w:pPr>
        <w:pStyle w:val="2"/>
        <w:spacing w:before="47" w:line="318" w:lineRule="auto"/>
        <w:ind w:right="19"/>
        <w:jc w:val="both"/>
        <w:rPr>
          <w:rFonts w:hint="eastAsia"/>
          <w:spacing w:val="8"/>
          <w:lang w:eastAsia="zh-CN"/>
        </w:rPr>
      </w:pPr>
      <w:r>
        <w:rPr>
          <w:rFonts w:hint="eastAsia"/>
          <w:spacing w:val="8"/>
          <w:lang w:eastAsia="zh-CN"/>
        </w:rPr>
        <w:t>四、项目实施年限：不超过</w:t>
      </w:r>
      <w:r>
        <w:rPr>
          <w:spacing w:val="8"/>
          <w:lang w:eastAsia="zh-CN"/>
        </w:rPr>
        <w:t>2</w:t>
      </w:r>
      <w:r>
        <w:rPr>
          <w:rFonts w:hint="eastAsia"/>
          <w:spacing w:val="8"/>
          <w:lang w:eastAsia="zh-CN"/>
        </w:rPr>
        <w:t>年</w:t>
      </w:r>
    </w:p>
    <w:p w14:paraId="57DA9B01">
      <w:pPr>
        <w:pStyle w:val="2"/>
        <w:spacing w:before="47" w:line="318" w:lineRule="auto"/>
        <w:ind w:right="19"/>
        <w:jc w:val="both"/>
        <w:rPr>
          <w:rFonts w:hint="eastAsia"/>
          <w:spacing w:val="8"/>
          <w:lang w:eastAsia="zh-CN"/>
        </w:rPr>
      </w:pPr>
      <w:r>
        <w:rPr>
          <w:rFonts w:hint="eastAsia"/>
          <w:spacing w:val="8"/>
          <w:lang w:eastAsia="zh-CN"/>
        </w:rPr>
        <w:t>五、资助金额：不超过10万元</w:t>
      </w:r>
    </w:p>
    <w:p w14:paraId="6B8C4E74">
      <w:pPr>
        <w:pStyle w:val="2"/>
        <w:spacing w:before="47" w:line="318" w:lineRule="auto"/>
        <w:ind w:right="19" w:firstLine="652" w:firstLineChars="200"/>
        <w:jc w:val="both"/>
        <w:rPr>
          <w:spacing w:val="8"/>
          <w:lang w:eastAsia="zh-CN"/>
        </w:rPr>
      </w:pPr>
    </w:p>
    <w:p w14:paraId="0FFCEEF9">
      <w:pPr>
        <w:spacing w:before="91" w:line="159" w:lineRule="auto"/>
        <w:ind w:right="248"/>
        <w:jc w:val="center"/>
        <w:outlineLvl w:val="0"/>
        <w:rPr>
          <w:rFonts w:ascii="微软雅黑" w:hAnsi="微软雅黑" w:eastAsia="微软雅黑" w:cs="微软雅黑"/>
          <w:spacing w:val="19"/>
          <w:sz w:val="44"/>
          <w:szCs w:val="44"/>
          <w:lang w:eastAsia="zh-CN"/>
        </w:rPr>
      </w:pPr>
    </w:p>
    <w:p w14:paraId="41D5C847">
      <w:pPr>
        <w:spacing w:before="91" w:line="159" w:lineRule="auto"/>
        <w:ind w:right="248"/>
        <w:jc w:val="center"/>
        <w:outlineLvl w:val="0"/>
        <w:rPr>
          <w:rFonts w:ascii="微软雅黑" w:hAnsi="微软雅黑" w:eastAsia="微软雅黑" w:cs="微软雅黑"/>
          <w:spacing w:val="19"/>
          <w:sz w:val="44"/>
          <w:szCs w:val="44"/>
          <w:lang w:eastAsia="zh-CN"/>
        </w:rPr>
      </w:pPr>
    </w:p>
    <w:p w14:paraId="3F152757">
      <w:pPr>
        <w:spacing w:before="91" w:line="159" w:lineRule="auto"/>
        <w:ind w:right="248"/>
        <w:jc w:val="center"/>
        <w:outlineLvl w:val="0"/>
        <w:rPr>
          <w:rFonts w:ascii="微软雅黑" w:hAnsi="微软雅黑" w:eastAsia="微软雅黑" w:cs="微软雅黑"/>
          <w:spacing w:val="19"/>
          <w:sz w:val="44"/>
          <w:szCs w:val="44"/>
          <w:lang w:eastAsia="zh-CN"/>
        </w:rPr>
      </w:pPr>
    </w:p>
    <w:p w14:paraId="2FA54C30">
      <w:pPr>
        <w:spacing w:before="91" w:line="159" w:lineRule="auto"/>
        <w:ind w:right="248"/>
        <w:jc w:val="center"/>
        <w:outlineLvl w:val="0"/>
        <w:rPr>
          <w:rFonts w:ascii="微软雅黑" w:hAnsi="微软雅黑" w:eastAsia="微软雅黑" w:cs="微软雅黑"/>
          <w:spacing w:val="19"/>
          <w:sz w:val="44"/>
          <w:szCs w:val="44"/>
          <w:lang w:eastAsia="zh-CN"/>
        </w:rPr>
      </w:pPr>
    </w:p>
    <w:p w14:paraId="0F110728">
      <w:pPr>
        <w:spacing w:before="91" w:line="159" w:lineRule="auto"/>
        <w:ind w:right="248"/>
        <w:jc w:val="both"/>
        <w:outlineLvl w:val="0"/>
        <w:rPr>
          <w:rFonts w:ascii="微软雅黑" w:hAnsi="微软雅黑" w:eastAsia="微软雅黑" w:cs="微软雅黑"/>
          <w:spacing w:val="19"/>
          <w:sz w:val="44"/>
          <w:szCs w:val="44"/>
          <w:lang w:eastAsia="zh-CN"/>
        </w:rPr>
      </w:pPr>
    </w:p>
    <w:p w14:paraId="2547E773">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02412007 </w:t>
      </w:r>
      <w:r>
        <w:rPr>
          <w:rFonts w:hint="eastAsia"/>
          <w:b/>
          <w:bCs/>
          <w:spacing w:val="8"/>
          <w:sz w:val="36"/>
          <w:szCs w:val="36"/>
          <w:lang w:eastAsia="zh-CN"/>
        </w:rPr>
        <w:t>特殊样本生化检测项目适用性验证相关临床研究</w:t>
      </w:r>
    </w:p>
    <w:p w14:paraId="46651F9B">
      <w:pPr>
        <w:pStyle w:val="2"/>
        <w:spacing w:before="47" w:line="318" w:lineRule="auto"/>
        <w:ind w:right="19"/>
        <w:jc w:val="center"/>
        <w:rPr>
          <w:rFonts w:hint="eastAsia"/>
          <w:b/>
          <w:bCs/>
          <w:spacing w:val="8"/>
          <w:sz w:val="36"/>
          <w:szCs w:val="36"/>
          <w:lang w:eastAsia="zh-CN"/>
        </w:rPr>
      </w:pPr>
    </w:p>
    <w:p w14:paraId="79F4D9FF">
      <w:pPr>
        <w:pStyle w:val="2"/>
        <w:spacing w:before="47" w:line="318" w:lineRule="auto"/>
        <w:ind w:right="19"/>
        <w:jc w:val="both"/>
        <w:rPr>
          <w:spacing w:val="8"/>
          <w:lang w:eastAsia="zh-CN"/>
        </w:rPr>
      </w:pPr>
      <w:r>
        <w:rPr>
          <w:rFonts w:hint="eastAsia"/>
          <w:spacing w:val="8"/>
          <w:lang w:eastAsia="zh-CN"/>
        </w:rPr>
        <w:t>一、领域</w:t>
      </w:r>
      <w:r>
        <w:rPr>
          <w:spacing w:val="8"/>
          <w:lang w:eastAsia="zh-CN"/>
        </w:rPr>
        <w:t>：</w:t>
      </w:r>
      <w:r>
        <w:rPr>
          <w:rFonts w:hint="eastAsia"/>
          <w:spacing w:val="8"/>
          <w:lang w:eastAsia="zh-CN"/>
        </w:rPr>
        <w:t>生化</w:t>
      </w:r>
    </w:p>
    <w:p w14:paraId="04DFAA25">
      <w:pPr>
        <w:pStyle w:val="2"/>
        <w:spacing w:before="47" w:line="318" w:lineRule="auto"/>
        <w:ind w:right="19"/>
        <w:jc w:val="both"/>
        <w:rPr>
          <w:spacing w:val="8"/>
          <w:lang w:eastAsia="zh-CN"/>
        </w:rPr>
      </w:pPr>
      <w:r>
        <w:rPr>
          <w:rFonts w:hint="eastAsia"/>
          <w:spacing w:val="8"/>
          <w:lang w:eastAsia="zh-CN"/>
        </w:rPr>
        <w:t>二</w:t>
      </w:r>
      <w:r>
        <w:rPr>
          <w:spacing w:val="8"/>
          <w:lang w:eastAsia="zh-CN"/>
        </w:rPr>
        <w:t>、</w:t>
      </w:r>
      <w:r>
        <w:rPr>
          <w:rFonts w:hint="eastAsia"/>
          <w:spacing w:val="8"/>
          <w:lang w:eastAsia="zh-CN"/>
        </w:rPr>
        <w:t>主要研究内容</w:t>
      </w:r>
      <w:r>
        <w:rPr>
          <w:spacing w:val="8"/>
          <w:lang w:eastAsia="zh-CN"/>
        </w:rPr>
        <w:t>：</w:t>
      </w:r>
    </w:p>
    <w:p w14:paraId="47C61C3F">
      <w:pPr>
        <w:pStyle w:val="2"/>
        <w:spacing w:before="47" w:line="318" w:lineRule="auto"/>
        <w:ind w:right="19" w:firstLine="652" w:firstLineChars="200"/>
        <w:jc w:val="both"/>
        <w:rPr>
          <w:spacing w:val="8"/>
          <w:lang w:eastAsia="zh-CN"/>
        </w:rPr>
      </w:pPr>
      <w:r>
        <w:rPr>
          <w:spacing w:val="8"/>
          <w:lang w:eastAsia="zh-CN"/>
        </w:rPr>
        <w:t>对血浆、尿液、脑脊液、胸腹水等样本类型中临床诊疗所需要的生化项目进行适用性验证，从样本特性、分析性能、临床性能</w:t>
      </w:r>
      <w:r>
        <w:rPr>
          <w:rFonts w:hint="eastAsia"/>
          <w:spacing w:val="8"/>
          <w:lang w:eastAsia="zh-CN"/>
        </w:rPr>
        <w:t>等</w:t>
      </w:r>
      <w:r>
        <w:rPr>
          <w:spacing w:val="8"/>
          <w:lang w:eastAsia="zh-CN"/>
        </w:rPr>
        <w:t>方面进行</w:t>
      </w:r>
      <w:r>
        <w:rPr>
          <w:rFonts w:hint="eastAsia"/>
          <w:spacing w:val="8"/>
          <w:lang w:eastAsia="zh-CN"/>
        </w:rPr>
        <w:t>全面</w:t>
      </w:r>
      <w:r>
        <w:rPr>
          <w:spacing w:val="8"/>
          <w:lang w:eastAsia="zh-CN"/>
        </w:rPr>
        <w:t>评估。计算</w:t>
      </w:r>
      <w:r>
        <w:rPr>
          <w:rFonts w:hint="eastAsia"/>
          <w:spacing w:val="8"/>
          <w:lang w:eastAsia="zh-CN"/>
        </w:rPr>
        <w:t>体液样本生化检测</w:t>
      </w:r>
      <w:r>
        <w:rPr>
          <w:spacing w:val="8"/>
          <w:lang w:eastAsia="zh-CN"/>
        </w:rPr>
        <w:t>参考区间或阳性判断值。</w:t>
      </w:r>
      <w:r>
        <w:rPr>
          <w:rFonts w:hint="eastAsia"/>
          <w:spacing w:val="8"/>
          <w:lang w:eastAsia="zh-CN"/>
        </w:rPr>
        <w:t>建立尿液</w:t>
      </w:r>
      <w:r>
        <w:rPr>
          <w:spacing w:val="8"/>
          <w:lang w:eastAsia="zh-CN"/>
        </w:rPr>
        <w:t>、</w:t>
      </w:r>
      <w:r>
        <w:rPr>
          <w:rFonts w:hint="eastAsia"/>
          <w:spacing w:val="8"/>
          <w:lang w:eastAsia="zh-CN"/>
        </w:rPr>
        <w:t>脑脊液</w:t>
      </w:r>
      <w:r>
        <w:rPr>
          <w:spacing w:val="8"/>
          <w:lang w:eastAsia="zh-CN"/>
        </w:rPr>
        <w:t>、</w:t>
      </w:r>
      <w:r>
        <w:rPr>
          <w:rFonts w:hint="eastAsia"/>
          <w:spacing w:val="8"/>
          <w:lang w:eastAsia="zh-CN"/>
        </w:rPr>
        <w:t>胸腹水在临床</w:t>
      </w:r>
      <w:r>
        <w:rPr>
          <w:spacing w:val="8"/>
          <w:lang w:eastAsia="zh-CN"/>
        </w:rPr>
        <w:t>生化项目</w:t>
      </w:r>
      <w:r>
        <w:rPr>
          <w:rFonts w:hint="eastAsia"/>
          <w:spacing w:val="8"/>
          <w:lang w:eastAsia="zh-CN"/>
        </w:rPr>
        <w:t>检测的标准化流程</w:t>
      </w:r>
      <w:r>
        <w:rPr>
          <w:spacing w:val="8"/>
          <w:lang w:eastAsia="zh-CN"/>
        </w:rPr>
        <w:t>，帮助临床提升诊疗效果和效率。</w:t>
      </w:r>
    </w:p>
    <w:p w14:paraId="5FBDC374">
      <w:pPr>
        <w:pStyle w:val="2"/>
        <w:numPr>
          <w:ilvl w:val="0"/>
          <w:numId w:val="1"/>
        </w:numPr>
        <w:spacing w:before="47" w:line="318" w:lineRule="auto"/>
        <w:ind w:right="19"/>
        <w:jc w:val="both"/>
        <w:rPr>
          <w:spacing w:val="8"/>
          <w:lang w:eastAsia="zh-CN"/>
        </w:rPr>
      </w:pPr>
      <w:r>
        <w:rPr>
          <w:rFonts w:hint="eastAsia"/>
          <w:spacing w:val="8"/>
          <w:lang w:eastAsia="zh-CN"/>
        </w:rPr>
        <w:t>项目考核指标</w:t>
      </w:r>
      <w:r>
        <w:rPr>
          <w:spacing w:val="8"/>
          <w:lang w:eastAsia="zh-CN"/>
        </w:rPr>
        <w:t>：</w:t>
      </w:r>
    </w:p>
    <w:p w14:paraId="3ACB91C4">
      <w:pPr>
        <w:pStyle w:val="2"/>
        <w:numPr>
          <w:ilvl w:val="0"/>
          <w:numId w:val="0"/>
        </w:numPr>
        <w:spacing w:before="47" w:line="318" w:lineRule="auto"/>
        <w:ind w:right="19" w:rightChars="0" w:firstLine="652" w:firstLineChars="200"/>
        <w:jc w:val="both"/>
        <w:rPr>
          <w:spacing w:val="8"/>
          <w:lang w:eastAsia="zh-CN"/>
        </w:rPr>
      </w:pPr>
      <w:r>
        <w:rPr>
          <w:rFonts w:hint="eastAsia"/>
          <w:spacing w:val="8"/>
          <w:lang w:eastAsia="zh-CN"/>
        </w:rPr>
        <w:t>完成至少</w:t>
      </w:r>
      <w:r>
        <w:rPr>
          <w:spacing w:val="8"/>
          <w:lang w:eastAsia="zh-CN"/>
        </w:rPr>
        <w:t>3</w:t>
      </w:r>
      <w:r>
        <w:rPr>
          <w:rFonts w:hint="eastAsia"/>
          <w:spacing w:val="8"/>
          <w:lang w:eastAsia="zh-CN"/>
        </w:rPr>
        <w:t>种不同类型体液样本的临床生化样本检测数据收集</w:t>
      </w:r>
      <w:r>
        <w:rPr>
          <w:spacing w:val="8"/>
          <w:lang w:eastAsia="zh-CN"/>
        </w:rPr>
        <w:t>，</w:t>
      </w:r>
      <w:r>
        <w:rPr>
          <w:rFonts w:hint="eastAsia"/>
          <w:spacing w:val="8"/>
          <w:lang w:eastAsia="zh-CN"/>
        </w:rPr>
        <w:t>覆盖项目包含</w:t>
      </w:r>
      <w:r>
        <w:rPr>
          <w:spacing w:val="8"/>
          <w:lang w:eastAsia="zh-CN"/>
        </w:rPr>
        <w:t>蛋白质、离子类、糖类、酶类、脂类、胆红素等，</w:t>
      </w:r>
      <w:r>
        <w:rPr>
          <w:rFonts w:hint="eastAsia"/>
          <w:spacing w:val="8"/>
          <w:lang w:eastAsia="zh-CN"/>
        </w:rPr>
        <w:t>并针对临床诊断对</w:t>
      </w:r>
      <w:r>
        <w:rPr>
          <w:spacing w:val="8"/>
          <w:lang w:eastAsia="zh-CN"/>
        </w:rPr>
        <w:t>阳性判断值</w:t>
      </w:r>
      <w:r>
        <w:rPr>
          <w:rFonts w:hint="eastAsia"/>
          <w:spacing w:val="8"/>
          <w:lang w:eastAsia="zh-CN"/>
        </w:rPr>
        <w:t>或临床截断值</w:t>
      </w:r>
      <w:r>
        <w:rPr>
          <w:spacing w:val="8"/>
          <w:lang w:eastAsia="zh-CN"/>
        </w:rPr>
        <w:t>处的灵敏度和特异性</w:t>
      </w:r>
      <w:r>
        <w:rPr>
          <w:rFonts w:hint="eastAsia"/>
          <w:spacing w:val="8"/>
          <w:lang w:eastAsia="zh-CN"/>
        </w:rPr>
        <w:t>、阳性预测值和阴性预测值、kappa值、准确率等指标进行评价</w:t>
      </w:r>
      <w:r>
        <w:rPr>
          <w:spacing w:val="8"/>
          <w:lang w:eastAsia="zh-CN"/>
        </w:rPr>
        <w:t>，</w:t>
      </w:r>
      <w:r>
        <w:rPr>
          <w:rFonts w:hint="eastAsia"/>
          <w:spacing w:val="8"/>
          <w:lang w:eastAsia="zh-CN"/>
        </w:rPr>
        <w:t>生成评估报告</w:t>
      </w:r>
      <w:r>
        <w:rPr>
          <w:spacing w:val="8"/>
          <w:lang w:eastAsia="zh-CN"/>
        </w:rPr>
        <w:t>。</w:t>
      </w:r>
    </w:p>
    <w:p w14:paraId="3A61579E">
      <w:pPr>
        <w:pStyle w:val="2"/>
        <w:spacing w:before="47" w:line="318" w:lineRule="auto"/>
        <w:ind w:right="19"/>
        <w:jc w:val="both"/>
        <w:rPr>
          <w:spacing w:val="8"/>
          <w:lang w:eastAsia="zh-CN"/>
        </w:rPr>
      </w:pPr>
      <w:r>
        <w:rPr>
          <w:rFonts w:hint="eastAsia"/>
          <w:spacing w:val="8"/>
          <w:lang w:eastAsia="zh-CN"/>
        </w:rPr>
        <w:t>四</w:t>
      </w:r>
      <w:r>
        <w:rPr>
          <w:spacing w:val="8"/>
          <w:lang w:eastAsia="zh-CN"/>
        </w:rPr>
        <w:t>、</w:t>
      </w:r>
      <w:r>
        <w:rPr>
          <w:rFonts w:hint="eastAsia"/>
          <w:spacing w:val="8"/>
          <w:lang w:eastAsia="zh-CN"/>
        </w:rPr>
        <w:t>项目实施年限</w:t>
      </w:r>
      <w:r>
        <w:rPr>
          <w:spacing w:val="8"/>
          <w:lang w:eastAsia="zh-CN"/>
        </w:rPr>
        <w:t>：</w:t>
      </w:r>
      <w:r>
        <w:rPr>
          <w:rFonts w:hint="eastAsia"/>
          <w:spacing w:val="8"/>
          <w:lang w:eastAsia="zh-CN"/>
        </w:rPr>
        <w:t>不超过</w:t>
      </w:r>
      <w:r>
        <w:rPr>
          <w:spacing w:val="8"/>
          <w:lang w:eastAsia="zh-CN"/>
        </w:rPr>
        <w:t>2</w:t>
      </w:r>
      <w:r>
        <w:rPr>
          <w:rFonts w:hint="eastAsia"/>
          <w:spacing w:val="8"/>
          <w:lang w:eastAsia="zh-CN"/>
        </w:rPr>
        <w:t>年</w:t>
      </w:r>
    </w:p>
    <w:p w14:paraId="4642131D">
      <w:pPr>
        <w:pStyle w:val="2"/>
        <w:spacing w:before="47" w:line="318" w:lineRule="auto"/>
        <w:ind w:right="19"/>
        <w:jc w:val="both"/>
        <w:rPr>
          <w:spacing w:val="8"/>
          <w:lang w:eastAsia="zh-CN"/>
        </w:rPr>
      </w:pPr>
      <w:r>
        <w:rPr>
          <w:rFonts w:hint="eastAsia"/>
          <w:spacing w:val="8"/>
          <w:lang w:eastAsia="zh-CN"/>
        </w:rPr>
        <w:t>五</w:t>
      </w:r>
      <w:r>
        <w:rPr>
          <w:spacing w:val="8"/>
          <w:lang w:eastAsia="zh-CN"/>
        </w:rPr>
        <w:t>、</w:t>
      </w:r>
      <w:r>
        <w:rPr>
          <w:rFonts w:hint="eastAsia"/>
          <w:spacing w:val="8"/>
          <w:lang w:eastAsia="zh-CN"/>
        </w:rPr>
        <w:t>资助金额</w:t>
      </w:r>
      <w:r>
        <w:rPr>
          <w:spacing w:val="8"/>
          <w:lang w:eastAsia="zh-CN"/>
        </w:rPr>
        <w:t>：</w:t>
      </w:r>
      <w:r>
        <w:rPr>
          <w:rFonts w:hint="eastAsia"/>
          <w:spacing w:val="8"/>
          <w:lang w:eastAsia="zh-CN"/>
        </w:rPr>
        <w:t>不超过</w:t>
      </w:r>
      <w:r>
        <w:rPr>
          <w:spacing w:val="8"/>
          <w:lang w:eastAsia="zh-CN"/>
        </w:rPr>
        <w:t>15</w:t>
      </w:r>
      <w:r>
        <w:rPr>
          <w:rFonts w:hint="eastAsia"/>
          <w:spacing w:val="8"/>
          <w:lang w:eastAsia="zh-CN"/>
        </w:rPr>
        <w:t>万元（不超过</w:t>
      </w:r>
      <w:r>
        <w:rPr>
          <w:spacing w:val="8"/>
          <w:lang w:eastAsia="zh-CN"/>
        </w:rPr>
        <w:t>3</w:t>
      </w:r>
      <w:r>
        <w:rPr>
          <w:rFonts w:hint="eastAsia"/>
          <w:spacing w:val="8"/>
          <w:lang w:eastAsia="zh-CN"/>
        </w:rPr>
        <w:t>家单位）</w:t>
      </w:r>
    </w:p>
    <w:p w14:paraId="1E840AE3">
      <w:pPr>
        <w:spacing w:before="91" w:line="159" w:lineRule="auto"/>
        <w:ind w:right="248"/>
        <w:jc w:val="center"/>
        <w:outlineLvl w:val="0"/>
        <w:rPr>
          <w:rFonts w:ascii="微软雅黑" w:hAnsi="微软雅黑" w:eastAsia="微软雅黑" w:cs="微软雅黑"/>
          <w:spacing w:val="19"/>
          <w:sz w:val="44"/>
          <w:szCs w:val="44"/>
          <w:lang w:eastAsia="zh-CN"/>
        </w:rPr>
      </w:pPr>
    </w:p>
    <w:p w14:paraId="6102EFB1">
      <w:pPr>
        <w:spacing w:before="91" w:line="159" w:lineRule="auto"/>
        <w:ind w:right="248"/>
        <w:jc w:val="center"/>
        <w:outlineLvl w:val="0"/>
        <w:rPr>
          <w:rFonts w:ascii="微软雅黑" w:hAnsi="微软雅黑" w:eastAsia="微软雅黑" w:cs="微软雅黑"/>
          <w:spacing w:val="19"/>
          <w:sz w:val="44"/>
          <w:szCs w:val="44"/>
          <w:lang w:eastAsia="zh-CN"/>
        </w:rPr>
      </w:pPr>
    </w:p>
    <w:p w14:paraId="7A2D8372">
      <w:pPr>
        <w:spacing w:before="91" w:line="159" w:lineRule="auto"/>
        <w:ind w:right="248"/>
        <w:jc w:val="center"/>
        <w:outlineLvl w:val="0"/>
        <w:rPr>
          <w:rFonts w:ascii="微软雅黑" w:hAnsi="微软雅黑" w:eastAsia="微软雅黑" w:cs="微软雅黑"/>
          <w:spacing w:val="19"/>
          <w:sz w:val="44"/>
          <w:szCs w:val="44"/>
          <w:lang w:eastAsia="zh-CN"/>
        </w:rPr>
      </w:pPr>
    </w:p>
    <w:p w14:paraId="338A1FC0">
      <w:pPr>
        <w:spacing w:before="91" w:line="159" w:lineRule="auto"/>
        <w:ind w:right="248"/>
        <w:jc w:val="center"/>
        <w:outlineLvl w:val="0"/>
        <w:rPr>
          <w:rFonts w:ascii="微软雅黑" w:hAnsi="微软雅黑" w:eastAsia="微软雅黑" w:cs="微软雅黑"/>
          <w:spacing w:val="19"/>
          <w:sz w:val="44"/>
          <w:szCs w:val="44"/>
          <w:lang w:eastAsia="zh-CN"/>
        </w:rPr>
      </w:pPr>
    </w:p>
    <w:p w14:paraId="2897DC6B">
      <w:pPr>
        <w:spacing w:before="91" w:line="159" w:lineRule="auto"/>
        <w:ind w:right="248"/>
        <w:jc w:val="both"/>
        <w:outlineLvl w:val="0"/>
        <w:rPr>
          <w:rFonts w:ascii="微软雅黑" w:hAnsi="微软雅黑" w:eastAsia="微软雅黑" w:cs="微软雅黑"/>
          <w:spacing w:val="19"/>
          <w:sz w:val="44"/>
          <w:szCs w:val="44"/>
          <w:lang w:eastAsia="zh-CN"/>
        </w:rPr>
      </w:pPr>
    </w:p>
    <w:p w14:paraId="09C00CC3">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02412008 </w:t>
      </w:r>
      <w:r>
        <w:rPr>
          <w:rFonts w:hint="eastAsia"/>
          <w:b/>
          <w:bCs/>
          <w:spacing w:val="8"/>
          <w:sz w:val="36"/>
          <w:szCs w:val="36"/>
          <w:lang w:eastAsia="zh-CN"/>
        </w:rPr>
        <w:t>社区获得性肺炎进展趋势的血液多模态模型建立相关临床研究</w:t>
      </w:r>
    </w:p>
    <w:p w14:paraId="5A0DEC85">
      <w:pPr>
        <w:pStyle w:val="2"/>
        <w:spacing w:before="47" w:line="318" w:lineRule="auto"/>
        <w:ind w:right="19"/>
        <w:jc w:val="center"/>
        <w:rPr>
          <w:rFonts w:hint="eastAsia"/>
          <w:b/>
          <w:bCs/>
          <w:spacing w:val="8"/>
          <w:sz w:val="36"/>
          <w:szCs w:val="36"/>
          <w:lang w:eastAsia="zh-CN"/>
        </w:rPr>
      </w:pPr>
    </w:p>
    <w:p w14:paraId="63FCF1A6">
      <w:pPr>
        <w:pStyle w:val="2"/>
        <w:spacing w:before="47" w:line="318" w:lineRule="auto"/>
        <w:ind w:right="19"/>
        <w:jc w:val="both"/>
        <w:rPr>
          <w:spacing w:val="8"/>
          <w:lang w:eastAsia="zh-CN"/>
        </w:rPr>
      </w:pPr>
      <w:r>
        <w:rPr>
          <w:rFonts w:hint="eastAsia"/>
          <w:spacing w:val="8"/>
          <w:lang w:eastAsia="zh-CN"/>
        </w:rPr>
        <w:t>一、领域</w:t>
      </w:r>
      <w:r>
        <w:rPr>
          <w:spacing w:val="8"/>
          <w:lang w:eastAsia="zh-CN"/>
        </w:rPr>
        <w:t>：</w:t>
      </w:r>
      <w:r>
        <w:rPr>
          <w:rFonts w:hint="eastAsia"/>
          <w:spacing w:val="8"/>
          <w:lang w:eastAsia="zh-CN"/>
        </w:rPr>
        <w:t>微生物、凝血、化免、AI</w:t>
      </w:r>
    </w:p>
    <w:p w14:paraId="027D8CA9">
      <w:pPr>
        <w:pStyle w:val="2"/>
        <w:spacing w:before="47" w:line="318" w:lineRule="auto"/>
        <w:ind w:right="19"/>
        <w:jc w:val="both"/>
        <w:rPr>
          <w:spacing w:val="8"/>
          <w:lang w:eastAsia="zh-CN"/>
        </w:rPr>
      </w:pPr>
      <w:r>
        <w:rPr>
          <w:rFonts w:hint="eastAsia"/>
          <w:spacing w:val="8"/>
          <w:lang w:eastAsia="zh-CN"/>
        </w:rPr>
        <w:t>二</w:t>
      </w:r>
      <w:r>
        <w:rPr>
          <w:spacing w:val="8"/>
          <w:lang w:eastAsia="zh-CN"/>
        </w:rPr>
        <w:t>、</w:t>
      </w:r>
      <w:r>
        <w:rPr>
          <w:rFonts w:hint="eastAsia"/>
          <w:spacing w:val="8"/>
          <w:lang w:eastAsia="zh-CN"/>
        </w:rPr>
        <w:t>主要研究内容</w:t>
      </w:r>
      <w:r>
        <w:rPr>
          <w:spacing w:val="8"/>
          <w:lang w:eastAsia="zh-CN"/>
        </w:rPr>
        <w:t>：</w:t>
      </w:r>
    </w:p>
    <w:p w14:paraId="02F4C8B7">
      <w:pPr>
        <w:pStyle w:val="2"/>
        <w:spacing w:before="47" w:line="318" w:lineRule="auto"/>
        <w:ind w:right="19" w:firstLine="652" w:firstLineChars="200"/>
        <w:jc w:val="both"/>
        <w:rPr>
          <w:spacing w:val="8"/>
          <w:lang w:eastAsia="zh-CN"/>
        </w:rPr>
      </w:pPr>
      <w:r>
        <w:rPr>
          <w:rFonts w:hint="eastAsia"/>
          <w:spacing w:val="8"/>
          <w:lang w:eastAsia="zh-CN"/>
        </w:rPr>
        <w:t>以社区获得性肺炎特别是重症感染患者为研究对象，采用动态、多模态、多维度的观察模式，揭示社区获得性肺炎进展趋势及血流感染变化规律，阐明呼吸道病原体诱导炎症</w:t>
      </w:r>
      <w:r>
        <w:rPr>
          <w:spacing w:val="8"/>
          <w:lang w:eastAsia="zh-CN"/>
        </w:rPr>
        <w:t>/</w:t>
      </w:r>
      <w:r>
        <w:rPr>
          <w:rFonts w:hint="eastAsia"/>
          <w:spacing w:val="8"/>
          <w:lang w:eastAsia="zh-CN"/>
        </w:rPr>
        <w:t>感染平衡的机制及其与不同临床表现的内在联系，发展针对重症感染患者的早期监测方法</w:t>
      </w:r>
      <w:r>
        <w:rPr>
          <w:spacing w:val="8"/>
          <w:lang w:eastAsia="zh-CN"/>
        </w:rPr>
        <w:t>，</w:t>
      </w:r>
      <w:r>
        <w:rPr>
          <w:rFonts w:hint="eastAsia"/>
          <w:spacing w:val="8"/>
          <w:lang w:eastAsia="zh-CN"/>
        </w:rPr>
        <w:t>为呼吸道病原体感染相关公共卫生事件的免疫防控提供理论支持和技术储备。</w:t>
      </w:r>
    </w:p>
    <w:p w14:paraId="650BD291">
      <w:pPr>
        <w:pStyle w:val="2"/>
        <w:numPr>
          <w:ilvl w:val="0"/>
          <w:numId w:val="1"/>
        </w:numPr>
        <w:spacing w:before="47" w:line="318" w:lineRule="auto"/>
        <w:ind w:left="0" w:leftChars="0" w:right="19" w:firstLine="0" w:firstLineChars="0"/>
        <w:jc w:val="both"/>
        <w:rPr>
          <w:spacing w:val="8"/>
          <w:lang w:eastAsia="zh-CN"/>
        </w:rPr>
      </w:pPr>
      <w:r>
        <w:rPr>
          <w:rFonts w:hint="eastAsia"/>
          <w:spacing w:val="8"/>
          <w:lang w:eastAsia="zh-CN"/>
        </w:rPr>
        <w:t>项目考核指标</w:t>
      </w:r>
      <w:r>
        <w:rPr>
          <w:spacing w:val="8"/>
          <w:lang w:eastAsia="zh-CN"/>
        </w:rPr>
        <w:t>：</w:t>
      </w:r>
    </w:p>
    <w:p w14:paraId="76B98C76">
      <w:pPr>
        <w:pStyle w:val="2"/>
        <w:numPr>
          <w:ilvl w:val="0"/>
          <w:numId w:val="0"/>
        </w:numPr>
        <w:spacing w:before="47" w:line="318" w:lineRule="auto"/>
        <w:ind w:leftChars="0" w:right="19" w:rightChars="0" w:firstLine="652" w:firstLineChars="200"/>
        <w:jc w:val="both"/>
        <w:rPr>
          <w:spacing w:val="8"/>
          <w:lang w:eastAsia="zh-CN"/>
        </w:rPr>
      </w:pPr>
      <w:r>
        <w:rPr>
          <w:rFonts w:hint="eastAsia"/>
          <w:spacing w:val="8"/>
          <w:lang w:eastAsia="zh-CN"/>
        </w:rPr>
        <w:t>建立基于不低于</w:t>
      </w:r>
      <w:r>
        <w:rPr>
          <w:spacing w:val="8"/>
          <w:lang w:eastAsia="zh-CN"/>
        </w:rPr>
        <w:t>1000</w:t>
      </w:r>
      <w:r>
        <w:rPr>
          <w:rFonts w:hint="eastAsia"/>
          <w:spacing w:val="8"/>
          <w:lang w:eastAsia="zh-CN"/>
        </w:rPr>
        <w:t>例真实世界社区获得性肺炎临床队列的血液多模态监测模型</w:t>
      </w:r>
      <w:r>
        <w:rPr>
          <w:spacing w:val="8"/>
          <w:lang w:eastAsia="zh-CN"/>
        </w:rPr>
        <w:t>。采用</w:t>
      </w:r>
      <w:r>
        <w:rPr>
          <w:rFonts w:hint="eastAsia"/>
          <w:spacing w:val="8"/>
          <w:lang w:eastAsia="zh-CN"/>
        </w:rPr>
        <w:t>化学</w:t>
      </w:r>
      <w:r>
        <w:rPr>
          <w:spacing w:val="8"/>
          <w:lang w:eastAsia="zh-CN"/>
        </w:rPr>
        <w:t>免疫、</w:t>
      </w:r>
      <w:r>
        <w:rPr>
          <w:rFonts w:hint="eastAsia"/>
          <w:spacing w:val="8"/>
          <w:lang w:eastAsia="zh-CN"/>
        </w:rPr>
        <w:t>凝血分析</w:t>
      </w:r>
      <w:r>
        <w:rPr>
          <w:spacing w:val="8"/>
          <w:lang w:eastAsia="zh-CN"/>
        </w:rPr>
        <w:t>、</w:t>
      </w:r>
      <w:r>
        <w:rPr>
          <w:rFonts w:hint="eastAsia"/>
          <w:spacing w:val="8"/>
          <w:lang w:eastAsia="zh-CN"/>
        </w:rPr>
        <w:t>生化分析等方法</w:t>
      </w:r>
      <w:r>
        <w:rPr>
          <w:spacing w:val="8"/>
          <w:lang w:eastAsia="zh-CN"/>
        </w:rPr>
        <w:t>，发现</w:t>
      </w:r>
      <w:r>
        <w:rPr>
          <w:rFonts w:hint="eastAsia"/>
          <w:spacing w:val="8"/>
          <w:lang w:eastAsia="zh-CN"/>
        </w:rPr>
        <w:t>呼吸道病原体感染及治疗过程中</w:t>
      </w:r>
      <w:r>
        <w:rPr>
          <w:spacing w:val="8"/>
          <w:lang w:eastAsia="zh-CN"/>
        </w:rPr>
        <w:t>，基于免疫反应的系统性、多维度和复杂性，</w:t>
      </w:r>
      <w:r>
        <w:rPr>
          <w:rFonts w:hint="eastAsia"/>
          <w:spacing w:val="8"/>
          <w:lang w:eastAsia="zh-CN"/>
        </w:rPr>
        <w:t>机体在</w:t>
      </w:r>
      <w:r>
        <w:rPr>
          <w:spacing w:val="8"/>
          <w:lang w:eastAsia="zh-CN"/>
        </w:rPr>
        <w:t>免疫应答启动后的时相特征及</w:t>
      </w:r>
      <w:r>
        <w:rPr>
          <w:rFonts w:hint="eastAsia"/>
          <w:spacing w:val="8"/>
          <w:lang w:eastAsia="zh-CN"/>
        </w:rPr>
        <w:t>多重</w:t>
      </w:r>
      <w:r>
        <w:rPr>
          <w:spacing w:val="8"/>
          <w:lang w:eastAsia="zh-CN"/>
        </w:rPr>
        <w:t>协同机制。</w:t>
      </w:r>
    </w:p>
    <w:p w14:paraId="1471EB1A">
      <w:pPr>
        <w:pStyle w:val="2"/>
        <w:spacing w:before="47" w:line="318" w:lineRule="auto"/>
        <w:ind w:right="19"/>
        <w:jc w:val="both"/>
        <w:rPr>
          <w:spacing w:val="8"/>
          <w:lang w:eastAsia="zh-CN"/>
        </w:rPr>
      </w:pPr>
      <w:r>
        <w:rPr>
          <w:rFonts w:hint="eastAsia"/>
          <w:spacing w:val="8"/>
          <w:lang w:eastAsia="zh-CN"/>
        </w:rPr>
        <w:t>四</w:t>
      </w:r>
      <w:r>
        <w:rPr>
          <w:spacing w:val="8"/>
          <w:lang w:eastAsia="zh-CN"/>
        </w:rPr>
        <w:t>、</w:t>
      </w:r>
      <w:r>
        <w:rPr>
          <w:rFonts w:hint="eastAsia"/>
          <w:spacing w:val="8"/>
          <w:lang w:eastAsia="zh-CN"/>
        </w:rPr>
        <w:t>项目实施年限</w:t>
      </w:r>
      <w:r>
        <w:rPr>
          <w:spacing w:val="8"/>
          <w:lang w:eastAsia="zh-CN"/>
        </w:rPr>
        <w:t>：</w:t>
      </w:r>
      <w:r>
        <w:rPr>
          <w:rFonts w:hint="eastAsia"/>
          <w:spacing w:val="8"/>
          <w:lang w:eastAsia="zh-CN"/>
        </w:rPr>
        <w:t>不超过</w:t>
      </w:r>
      <w:r>
        <w:rPr>
          <w:spacing w:val="8"/>
          <w:lang w:eastAsia="zh-CN"/>
        </w:rPr>
        <w:t>2</w:t>
      </w:r>
      <w:r>
        <w:rPr>
          <w:rFonts w:hint="eastAsia"/>
          <w:spacing w:val="8"/>
          <w:lang w:eastAsia="zh-CN"/>
        </w:rPr>
        <w:t>年</w:t>
      </w:r>
    </w:p>
    <w:p w14:paraId="7DA0CF89">
      <w:pPr>
        <w:pStyle w:val="2"/>
        <w:spacing w:before="47" w:line="318" w:lineRule="auto"/>
        <w:ind w:right="19"/>
        <w:jc w:val="both"/>
        <w:rPr>
          <w:spacing w:val="8"/>
          <w:lang w:eastAsia="zh-CN"/>
        </w:rPr>
      </w:pPr>
      <w:r>
        <w:rPr>
          <w:rFonts w:hint="eastAsia"/>
          <w:spacing w:val="8"/>
          <w:lang w:eastAsia="zh-CN"/>
        </w:rPr>
        <w:t>五</w:t>
      </w:r>
      <w:r>
        <w:rPr>
          <w:spacing w:val="8"/>
          <w:lang w:eastAsia="zh-CN"/>
        </w:rPr>
        <w:t>、</w:t>
      </w:r>
      <w:r>
        <w:rPr>
          <w:rFonts w:hint="eastAsia"/>
          <w:spacing w:val="8"/>
          <w:lang w:eastAsia="zh-CN"/>
        </w:rPr>
        <w:t>资助金额</w:t>
      </w:r>
      <w:r>
        <w:rPr>
          <w:spacing w:val="8"/>
          <w:lang w:eastAsia="zh-CN"/>
        </w:rPr>
        <w:t>：</w:t>
      </w:r>
      <w:r>
        <w:rPr>
          <w:rFonts w:hint="eastAsia"/>
          <w:spacing w:val="8"/>
          <w:lang w:eastAsia="zh-CN"/>
        </w:rPr>
        <w:t>不超过</w:t>
      </w:r>
      <w:r>
        <w:rPr>
          <w:spacing w:val="8"/>
          <w:lang w:eastAsia="zh-CN"/>
        </w:rPr>
        <w:t>50</w:t>
      </w:r>
      <w:r>
        <w:rPr>
          <w:rFonts w:hint="eastAsia"/>
          <w:spacing w:val="8"/>
          <w:lang w:eastAsia="zh-CN"/>
        </w:rPr>
        <w:t>万元</w:t>
      </w:r>
    </w:p>
    <w:p w14:paraId="6342772B">
      <w:pPr>
        <w:pStyle w:val="2"/>
        <w:spacing w:before="47" w:line="318" w:lineRule="auto"/>
        <w:ind w:right="19"/>
        <w:jc w:val="both"/>
        <w:rPr>
          <w:spacing w:val="8"/>
          <w:lang w:eastAsia="zh-CN"/>
        </w:rPr>
      </w:pPr>
    </w:p>
    <w:p w14:paraId="355759DA">
      <w:pPr>
        <w:pStyle w:val="2"/>
        <w:spacing w:before="47" w:line="318" w:lineRule="auto"/>
        <w:ind w:right="19"/>
        <w:jc w:val="both"/>
        <w:rPr>
          <w:spacing w:val="8"/>
          <w:lang w:eastAsia="zh-CN"/>
        </w:rPr>
      </w:pPr>
    </w:p>
    <w:p w14:paraId="6C0493A4">
      <w:pPr>
        <w:pStyle w:val="2"/>
        <w:spacing w:before="47" w:line="318" w:lineRule="auto"/>
        <w:ind w:right="19"/>
        <w:jc w:val="both"/>
        <w:rPr>
          <w:spacing w:val="8"/>
          <w:lang w:eastAsia="zh-CN"/>
        </w:rPr>
      </w:pPr>
    </w:p>
    <w:p w14:paraId="69F9C482">
      <w:pPr>
        <w:pStyle w:val="2"/>
        <w:spacing w:before="47" w:line="318" w:lineRule="auto"/>
        <w:ind w:right="19"/>
        <w:jc w:val="both"/>
        <w:rPr>
          <w:spacing w:val="8"/>
          <w:lang w:eastAsia="zh-CN"/>
        </w:rPr>
      </w:pPr>
    </w:p>
    <w:p w14:paraId="5B15DD83">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02412009 </w:t>
      </w:r>
      <w:r>
        <w:rPr>
          <w:rFonts w:hint="eastAsia"/>
          <w:b/>
          <w:bCs/>
          <w:spacing w:val="8"/>
          <w:sz w:val="36"/>
          <w:szCs w:val="36"/>
          <w:lang w:eastAsia="zh-CN"/>
        </w:rPr>
        <w:t>心脏标志物在非心脏手术后心血管不良事件预测中的临床价值研究</w:t>
      </w:r>
    </w:p>
    <w:p w14:paraId="2C58EA58">
      <w:pPr>
        <w:pStyle w:val="2"/>
        <w:spacing w:before="47" w:line="318" w:lineRule="auto"/>
        <w:ind w:right="19"/>
        <w:jc w:val="center"/>
        <w:rPr>
          <w:rFonts w:hint="eastAsia"/>
          <w:b/>
          <w:bCs/>
          <w:spacing w:val="8"/>
          <w:sz w:val="36"/>
          <w:szCs w:val="36"/>
          <w:lang w:eastAsia="zh-CN"/>
        </w:rPr>
      </w:pPr>
    </w:p>
    <w:p w14:paraId="135F8F19">
      <w:pPr>
        <w:pStyle w:val="2"/>
        <w:spacing w:before="47" w:line="318" w:lineRule="auto"/>
        <w:ind w:right="19"/>
        <w:jc w:val="both"/>
        <w:rPr>
          <w:rFonts w:hint="eastAsia"/>
          <w:spacing w:val="8"/>
          <w:lang w:eastAsia="zh-CN"/>
        </w:rPr>
      </w:pPr>
      <w:r>
        <w:rPr>
          <w:rFonts w:hint="eastAsia"/>
          <w:spacing w:val="8"/>
          <w:lang w:eastAsia="zh-CN"/>
        </w:rPr>
        <w:t>一、领域：化免、心脏标志物</w:t>
      </w:r>
    </w:p>
    <w:p w14:paraId="73982770">
      <w:pPr>
        <w:pStyle w:val="2"/>
        <w:spacing w:before="47" w:line="318" w:lineRule="auto"/>
        <w:ind w:right="19"/>
        <w:jc w:val="both"/>
        <w:rPr>
          <w:rFonts w:hint="eastAsia"/>
          <w:spacing w:val="8"/>
          <w:lang w:eastAsia="zh-CN"/>
        </w:rPr>
      </w:pPr>
      <w:r>
        <w:rPr>
          <w:rFonts w:hint="eastAsia"/>
          <w:spacing w:val="8"/>
          <w:lang w:eastAsia="zh-CN"/>
        </w:rPr>
        <w:t>二、主要研究内容：</w:t>
      </w:r>
    </w:p>
    <w:p w14:paraId="4C42D5D5">
      <w:pPr>
        <w:pStyle w:val="2"/>
        <w:spacing w:before="47" w:line="318" w:lineRule="auto"/>
        <w:ind w:right="19" w:firstLine="652" w:firstLineChars="200"/>
        <w:jc w:val="both"/>
        <w:rPr>
          <w:rFonts w:hint="eastAsia"/>
          <w:spacing w:val="8"/>
          <w:lang w:eastAsia="zh-CN"/>
        </w:rPr>
      </w:pPr>
      <w:r>
        <w:rPr>
          <w:rFonts w:hint="eastAsia"/>
          <w:spacing w:val="8"/>
          <w:lang w:eastAsia="zh-CN"/>
        </w:rPr>
        <w:t>面向重大疾病的诊疗需求，开展中高危手术的风险评价与临床监测研究。通过整合和分析重大疾病的多源异构临床数据，结合人工智能技术全面评价重大手术的全流程风险，开发智慧诊疗新策略。建立人机融合的全病程管理方案，提升重大疾病的临床干预效率和全周期管理精准性。</w:t>
      </w:r>
    </w:p>
    <w:p w14:paraId="651A86D1">
      <w:pPr>
        <w:pStyle w:val="2"/>
        <w:numPr>
          <w:ilvl w:val="0"/>
          <w:numId w:val="2"/>
        </w:numPr>
        <w:spacing w:before="47" w:line="318" w:lineRule="auto"/>
        <w:ind w:right="19"/>
        <w:jc w:val="both"/>
        <w:rPr>
          <w:rFonts w:hint="eastAsia"/>
          <w:spacing w:val="8"/>
          <w:lang w:eastAsia="zh-CN"/>
        </w:rPr>
      </w:pPr>
      <w:r>
        <w:rPr>
          <w:rFonts w:hint="eastAsia"/>
          <w:spacing w:val="8"/>
          <w:lang w:eastAsia="zh-CN"/>
        </w:rPr>
        <w:t>项目考核指标：</w:t>
      </w:r>
    </w:p>
    <w:p w14:paraId="2CCE0BAC">
      <w:pPr>
        <w:pStyle w:val="2"/>
        <w:numPr>
          <w:ilvl w:val="0"/>
          <w:numId w:val="0"/>
        </w:numPr>
        <w:spacing w:before="47" w:line="318" w:lineRule="auto"/>
        <w:ind w:right="19" w:rightChars="0" w:firstLine="652" w:firstLineChars="200"/>
        <w:jc w:val="both"/>
        <w:rPr>
          <w:rFonts w:hint="eastAsia"/>
          <w:spacing w:val="8"/>
          <w:lang w:eastAsia="zh-CN"/>
        </w:rPr>
      </w:pPr>
      <w:r>
        <w:rPr>
          <w:rFonts w:hint="eastAsia"/>
          <w:spacing w:val="8"/>
          <w:lang w:eastAsia="zh-CN"/>
        </w:rPr>
        <w:t>在10家以上的手术室，建成包含3种类型中高风险手术患者的临床随访数据库不少于 1000 例，队列临床随访时间不少于1年。构建以重大术后并发症风险为导向的临床预后预测模型1个，并阐明其有效性、安全性。</w:t>
      </w:r>
    </w:p>
    <w:p w14:paraId="32628B15">
      <w:pPr>
        <w:pStyle w:val="2"/>
        <w:spacing w:before="47" w:line="318" w:lineRule="auto"/>
        <w:ind w:right="19"/>
        <w:jc w:val="both"/>
        <w:rPr>
          <w:rFonts w:hint="eastAsia"/>
          <w:spacing w:val="8"/>
          <w:lang w:eastAsia="zh-CN"/>
        </w:rPr>
      </w:pPr>
      <w:r>
        <w:rPr>
          <w:rFonts w:hint="eastAsia"/>
          <w:spacing w:val="8"/>
          <w:lang w:eastAsia="zh-CN"/>
        </w:rPr>
        <w:t>四、项目实施年限：不超过2年</w:t>
      </w:r>
    </w:p>
    <w:p w14:paraId="570F7EB6">
      <w:pPr>
        <w:pStyle w:val="2"/>
        <w:spacing w:before="47" w:line="318" w:lineRule="auto"/>
        <w:ind w:right="19"/>
        <w:jc w:val="both"/>
        <w:rPr>
          <w:spacing w:val="8"/>
          <w:lang w:eastAsia="zh-CN"/>
        </w:rPr>
      </w:pPr>
      <w:r>
        <w:rPr>
          <w:rFonts w:hint="eastAsia"/>
          <w:spacing w:val="8"/>
          <w:lang w:eastAsia="zh-CN"/>
        </w:rPr>
        <w:t>五、资助金额：不超过50万元</w:t>
      </w:r>
    </w:p>
    <w:p w14:paraId="5976EBAB">
      <w:pPr>
        <w:pStyle w:val="2"/>
        <w:spacing w:before="47" w:line="318" w:lineRule="auto"/>
        <w:ind w:right="19"/>
        <w:jc w:val="both"/>
        <w:rPr>
          <w:rFonts w:hint="eastAsia"/>
          <w:spacing w:val="8"/>
          <w:lang w:eastAsia="zh-CN"/>
        </w:rPr>
      </w:pPr>
    </w:p>
    <w:p w14:paraId="0C2FB5F4">
      <w:pPr>
        <w:spacing w:before="91" w:line="159" w:lineRule="auto"/>
        <w:ind w:right="248"/>
        <w:jc w:val="center"/>
        <w:outlineLvl w:val="0"/>
        <w:rPr>
          <w:rFonts w:ascii="微软雅黑" w:hAnsi="微软雅黑" w:eastAsia="微软雅黑" w:cs="微软雅黑"/>
          <w:spacing w:val="19"/>
          <w:sz w:val="44"/>
          <w:szCs w:val="44"/>
          <w:lang w:eastAsia="zh-CN"/>
        </w:rPr>
      </w:pPr>
    </w:p>
    <w:p w14:paraId="21EC8433">
      <w:pPr>
        <w:spacing w:before="91" w:line="159" w:lineRule="auto"/>
        <w:ind w:right="248"/>
        <w:jc w:val="center"/>
        <w:outlineLvl w:val="0"/>
        <w:rPr>
          <w:rFonts w:ascii="微软雅黑" w:hAnsi="微软雅黑" w:eastAsia="微软雅黑" w:cs="微软雅黑"/>
          <w:spacing w:val="19"/>
          <w:sz w:val="44"/>
          <w:szCs w:val="44"/>
          <w:lang w:eastAsia="zh-CN"/>
        </w:rPr>
      </w:pPr>
    </w:p>
    <w:p w14:paraId="07FACEDA">
      <w:pPr>
        <w:spacing w:before="91" w:line="159" w:lineRule="auto"/>
        <w:ind w:right="248"/>
        <w:jc w:val="center"/>
        <w:outlineLvl w:val="0"/>
        <w:rPr>
          <w:rFonts w:ascii="微软雅黑" w:hAnsi="微软雅黑" w:eastAsia="微软雅黑" w:cs="微软雅黑"/>
          <w:spacing w:val="19"/>
          <w:sz w:val="44"/>
          <w:szCs w:val="44"/>
          <w:lang w:eastAsia="zh-CN"/>
        </w:rPr>
      </w:pPr>
    </w:p>
    <w:p w14:paraId="7A8557CD">
      <w:pPr>
        <w:spacing w:before="91" w:line="159" w:lineRule="auto"/>
        <w:ind w:right="248"/>
        <w:jc w:val="center"/>
        <w:outlineLvl w:val="0"/>
        <w:rPr>
          <w:rFonts w:ascii="微软雅黑" w:hAnsi="微软雅黑" w:eastAsia="微软雅黑" w:cs="微软雅黑"/>
          <w:spacing w:val="19"/>
          <w:sz w:val="44"/>
          <w:szCs w:val="44"/>
          <w:lang w:eastAsia="zh-CN"/>
        </w:rPr>
      </w:pPr>
    </w:p>
    <w:p w14:paraId="4C199B9E">
      <w:pPr>
        <w:spacing w:before="91" w:line="159" w:lineRule="auto"/>
        <w:ind w:right="248"/>
        <w:jc w:val="center"/>
        <w:outlineLvl w:val="0"/>
        <w:rPr>
          <w:rFonts w:ascii="微软雅黑" w:hAnsi="微软雅黑" w:eastAsia="微软雅黑" w:cs="微软雅黑"/>
          <w:spacing w:val="19"/>
          <w:sz w:val="44"/>
          <w:szCs w:val="44"/>
          <w:lang w:eastAsia="zh-CN"/>
        </w:rPr>
      </w:pPr>
    </w:p>
    <w:p w14:paraId="2F00FBB1">
      <w:pPr>
        <w:spacing w:before="91" w:line="159" w:lineRule="auto"/>
        <w:ind w:right="248"/>
        <w:jc w:val="both"/>
        <w:outlineLvl w:val="0"/>
        <w:rPr>
          <w:rFonts w:ascii="微软雅黑" w:hAnsi="微软雅黑" w:eastAsia="微软雅黑" w:cs="微软雅黑"/>
          <w:spacing w:val="19"/>
          <w:sz w:val="44"/>
          <w:szCs w:val="44"/>
          <w:lang w:eastAsia="zh-CN"/>
        </w:rPr>
      </w:pPr>
    </w:p>
    <w:p w14:paraId="064DE1F9">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02412010</w:t>
      </w:r>
      <w:r>
        <w:rPr>
          <w:rFonts w:hint="eastAsia"/>
          <w:b/>
          <w:bCs/>
          <w:spacing w:val="8"/>
          <w:sz w:val="36"/>
          <w:szCs w:val="36"/>
          <w:lang w:eastAsia="zh-CN"/>
        </w:rPr>
        <w:t xml:space="preserve"> 儿童早期营养不良诊断的AI算法模型建立相关研究</w:t>
      </w:r>
    </w:p>
    <w:p w14:paraId="1F2D22DE">
      <w:pPr>
        <w:pStyle w:val="2"/>
        <w:spacing w:before="47" w:line="318" w:lineRule="auto"/>
        <w:ind w:right="19"/>
        <w:jc w:val="center"/>
        <w:rPr>
          <w:rFonts w:hint="eastAsia"/>
          <w:b/>
          <w:bCs/>
          <w:spacing w:val="8"/>
          <w:sz w:val="36"/>
          <w:szCs w:val="36"/>
          <w:lang w:eastAsia="zh-CN"/>
        </w:rPr>
      </w:pPr>
    </w:p>
    <w:p w14:paraId="332C2536">
      <w:pPr>
        <w:pStyle w:val="2"/>
        <w:spacing w:before="47" w:line="318" w:lineRule="auto"/>
        <w:ind w:right="19"/>
        <w:jc w:val="both"/>
        <w:rPr>
          <w:spacing w:val="8"/>
          <w:lang w:eastAsia="zh-CN"/>
        </w:rPr>
      </w:pPr>
      <w:r>
        <w:rPr>
          <w:rFonts w:hint="eastAsia"/>
          <w:spacing w:val="8"/>
          <w:lang w:eastAsia="zh-CN"/>
        </w:rPr>
        <w:t>一、领域：生化、AI</w:t>
      </w:r>
    </w:p>
    <w:p w14:paraId="627D972B">
      <w:pPr>
        <w:pStyle w:val="2"/>
        <w:spacing w:before="47" w:line="318" w:lineRule="auto"/>
        <w:ind w:right="19"/>
        <w:jc w:val="both"/>
        <w:rPr>
          <w:spacing w:val="8"/>
          <w:lang w:eastAsia="zh-CN"/>
        </w:rPr>
      </w:pPr>
      <w:r>
        <w:rPr>
          <w:rFonts w:hint="eastAsia"/>
          <w:spacing w:val="8"/>
          <w:lang w:eastAsia="zh-CN"/>
        </w:rPr>
        <w:t>二、主要研究内容</w:t>
      </w:r>
    </w:p>
    <w:p w14:paraId="11B85EDA">
      <w:pPr>
        <w:pStyle w:val="2"/>
        <w:spacing w:before="47" w:line="318" w:lineRule="auto"/>
        <w:ind w:right="19" w:firstLine="652" w:firstLineChars="200"/>
        <w:jc w:val="both"/>
        <w:rPr>
          <w:spacing w:val="8"/>
          <w:lang w:eastAsia="zh-CN"/>
        </w:rPr>
      </w:pPr>
      <w:r>
        <w:rPr>
          <w:rFonts w:hint="eastAsia"/>
          <w:spacing w:val="8"/>
          <w:lang w:eastAsia="zh-CN"/>
        </w:rPr>
        <w:t>（一）随着社会经济的快速发展，人民物质水平日益提高，高热量、高脂、高糖等的食物过量摄入引起儿童超重肥胖问题日益凸显。开展血液中营养与代谢相关生化指标在预测儿童营养状况的相关研究。</w:t>
      </w:r>
    </w:p>
    <w:p w14:paraId="66A485FE">
      <w:pPr>
        <w:pStyle w:val="2"/>
        <w:spacing w:before="47" w:line="318" w:lineRule="auto"/>
        <w:ind w:right="19" w:firstLine="652" w:firstLineChars="200"/>
        <w:jc w:val="both"/>
        <w:rPr>
          <w:spacing w:val="8"/>
          <w:lang w:eastAsia="zh-CN"/>
        </w:rPr>
      </w:pPr>
      <w:r>
        <w:rPr>
          <w:rFonts w:hint="eastAsia"/>
          <w:spacing w:val="8"/>
          <w:lang w:eastAsia="zh-CN"/>
        </w:rPr>
        <w:t>（二）该研究要覆盖尽量多的不同营养水平儿童受试者类型，可采用身体质量指数（BMI）协助分组。</w:t>
      </w:r>
    </w:p>
    <w:p w14:paraId="0D90A01D">
      <w:pPr>
        <w:pStyle w:val="2"/>
        <w:spacing w:before="47" w:line="318" w:lineRule="auto"/>
        <w:ind w:right="19" w:firstLine="652" w:firstLineChars="200"/>
        <w:jc w:val="both"/>
        <w:rPr>
          <w:spacing w:val="8"/>
          <w:lang w:eastAsia="zh-CN"/>
        </w:rPr>
      </w:pPr>
      <w:r>
        <w:rPr>
          <w:rFonts w:hint="eastAsia"/>
          <w:spacing w:val="8"/>
          <w:lang w:eastAsia="zh-CN"/>
        </w:rPr>
        <w:t>（三）人工智能越来越多被运用于医学检测诊断中。将机器算法融合在营养状况诊断预测中，并评估其诊断价值。</w:t>
      </w:r>
    </w:p>
    <w:p w14:paraId="3A9F665D">
      <w:pPr>
        <w:pStyle w:val="2"/>
        <w:spacing w:before="47" w:line="318" w:lineRule="auto"/>
        <w:ind w:right="19"/>
        <w:jc w:val="both"/>
        <w:rPr>
          <w:spacing w:val="8"/>
          <w:lang w:eastAsia="zh-CN"/>
        </w:rPr>
      </w:pPr>
      <w:r>
        <w:rPr>
          <w:rFonts w:hint="eastAsia"/>
          <w:spacing w:val="8"/>
          <w:lang w:eastAsia="zh-CN"/>
        </w:rPr>
        <w:t>三、项目考核指标（项目执行期内）</w:t>
      </w:r>
    </w:p>
    <w:p w14:paraId="48E6CA8F">
      <w:pPr>
        <w:ind w:firstLine="652" w:firstLineChars="200"/>
        <w:rPr>
          <w:rFonts w:hint="eastAsia" w:ascii="仿宋" w:hAnsi="仿宋" w:eastAsia="仿宋" w:cs="仿宋"/>
          <w:spacing w:val="8"/>
          <w:sz w:val="31"/>
          <w:szCs w:val="31"/>
          <w:lang w:eastAsia="zh-CN"/>
        </w:rPr>
      </w:pPr>
      <w:r>
        <w:rPr>
          <w:rFonts w:hint="eastAsia" w:ascii="仿宋" w:hAnsi="仿宋" w:eastAsia="仿宋" w:cs="仿宋"/>
          <w:spacing w:val="8"/>
          <w:sz w:val="31"/>
          <w:szCs w:val="31"/>
          <w:lang w:eastAsia="zh-CN"/>
        </w:rPr>
        <w:t>1.收集低体重组、正常组、超重组和肥胖组儿童基本情况及生化检测结果，每组不少于1</w:t>
      </w:r>
      <w:r>
        <w:rPr>
          <w:rFonts w:ascii="仿宋" w:hAnsi="仿宋" w:eastAsia="仿宋" w:cs="仿宋"/>
          <w:spacing w:val="8"/>
          <w:sz w:val="31"/>
          <w:szCs w:val="31"/>
          <w:lang w:eastAsia="zh-CN"/>
        </w:rPr>
        <w:t>50</w:t>
      </w:r>
      <w:r>
        <w:rPr>
          <w:rFonts w:hint="eastAsia" w:ascii="仿宋" w:hAnsi="仿宋" w:eastAsia="仿宋" w:cs="仿宋"/>
          <w:spacing w:val="8"/>
          <w:sz w:val="31"/>
          <w:szCs w:val="31"/>
          <w:lang w:eastAsia="zh-CN"/>
        </w:rPr>
        <w:t>例；</w:t>
      </w:r>
    </w:p>
    <w:p w14:paraId="3892C8AA">
      <w:pPr>
        <w:pStyle w:val="2"/>
        <w:spacing w:before="47" w:line="318" w:lineRule="auto"/>
        <w:ind w:right="19" w:firstLine="652" w:firstLineChars="200"/>
        <w:jc w:val="both"/>
        <w:rPr>
          <w:spacing w:val="8"/>
          <w:lang w:eastAsia="zh-CN"/>
        </w:rPr>
      </w:pPr>
      <w:r>
        <w:rPr>
          <w:rFonts w:hint="eastAsia"/>
          <w:spacing w:val="8"/>
          <w:lang w:eastAsia="zh-CN"/>
        </w:rPr>
        <w:t>2</w:t>
      </w:r>
      <w:r>
        <w:rPr>
          <w:spacing w:val="8"/>
          <w:lang w:eastAsia="zh-CN"/>
        </w:rPr>
        <w:t>.</w:t>
      </w:r>
      <w:r>
        <w:rPr>
          <w:rFonts w:hint="eastAsia"/>
          <w:spacing w:val="8"/>
          <w:lang w:eastAsia="zh-CN"/>
        </w:rPr>
        <w:t>对以上病例进行定位准确度评估，生成评估报告，并建立AI辅助诊断模型。</w:t>
      </w:r>
    </w:p>
    <w:p w14:paraId="531D9DB3">
      <w:pPr>
        <w:pStyle w:val="2"/>
        <w:spacing w:before="47" w:line="318" w:lineRule="auto"/>
        <w:ind w:right="19"/>
        <w:jc w:val="both"/>
        <w:rPr>
          <w:spacing w:val="8"/>
          <w:lang w:eastAsia="zh-CN"/>
        </w:rPr>
      </w:pPr>
      <w:r>
        <w:rPr>
          <w:rFonts w:hint="eastAsia"/>
          <w:spacing w:val="8"/>
          <w:lang w:eastAsia="zh-CN"/>
        </w:rPr>
        <w:t>四、项目实施年限：不超过2年</w:t>
      </w:r>
    </w:p>
    <w:p w14:paraId="3744D0B3">
      <w:pPr>
        <w:pStyle w:val="2"/>
        <w:spacing w:before="47" w:line="318" w:lineRule="auto"/>
        <w:ind w:right="19"/>
        <w:jc w:val="both"/>
        <w:rPr>
          <w:spacing w:val="8"/>
          <w:lang w:eastAsia="zh-CN"/>
        </w:rPr>
      </w:pPr>
      <w:r>
        <w:rPr>
          <w:rFonts w:hint="eastAsia"/>
          <w:spacing w:val="8"/>
          <w:lang w:eastAsia="zh-CN"/>
        </w:rPr>
        <w:t>五、资助金额：不超过 10万元</w:t>
      </w:r>
    </w:p>
    <w:p w14:paraId="0C24C6C0">
      <w:pPr>
        <w:spacing w:before="91" w:line="159" w:lineRule="auto"/>
        <w:ind w:right="248"/>
        <w:jc w:val="center"/>
        <w:outlineLvl w:val="0"/>
        <w:rPr>
          <w:rFonts w:hint="eastAsia" w:ascii="微软雅黑" w:hAnsi="微软雅黑" w:eastAsia="微软雅黑" w:cs="微软雅黑"/>
          <w:spacing w:val="19"/>
          <w:sz w:val="44"/>
          <w:szCs w:val="44"/>
          <w:lang w:eastAsia="zh-CN"/>
        </w:rPr>
      </w:pPr>
    </w:p>
    <w:p w14:paraId="446BA03D">
      <w:pPr>
        <w:spacing w:before="91" w:line="159" w:lineRule="auto"/>
        <w:ind w:right="248"/>
        <w:jc w:val="center"/>
        <w:outlineLvl w:val="0"/>
        <w:rPr>
          <w:rFonts w:hint="eastAsia" w:ascii="微软雅黑" w:hAnsi="微软雅黑" w:eastAsia="微软雅黑" w:cs="微软雅黑"/>
          <w:spacing w:val="19"/>
          <w:sz w:val="44"/>
          <w:szCs w:val="44"/>
          <w:lang w:eastAsia="zh-CN"/>
        </w:rPr>
      </w:pPr>
    </w:p>
    <w:p w14:paraId="638C0021">
      <w:pPr>
        <w:spacing w:before="91" w:line="159" w:lineRule="auto"/>
        <w:ind w:right="248"/>
        <w:jc w:val="both"/>
        <w:outlineLvl w:val="0"/>
        <w:rPr>
          <w:rFonts w:ascii="微软雅黑" w:hAnsi="微软雅黑" w:eastAsia="微软雅黑" w:cs="微软雅黑"/>
          <w:spacing w:val="19"/>
          <w:sz w:val="44"/>
          <w:szCs w:val="44"/>
          <w:lang w:eastAsia="zh-CN"/>
        </w:rPr>
      </w:pPr>
    </w:p>
    <w:p w14:paraId="757F1981">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02412011</w:t>
      </w:r>
      <w:r>
        <w:rPr>
          <w:rFonts w:hint="eastAsia"/>
          <w:b/>
          <w:bCs/>
          <w:spacing w:val="8"/>
          <w:sz w:val="36"/>
          <w:szCs w:val="36"/>
          <w:lang w:eastAsia="zh-CN"/>
        </w:rPr>
        <w:t xml:space="preserve"> 食管癌早期诊断模型建立相关临床研究</w:t>
      </w:r>
    </w:p>
    <w:p w14:paraId="5544C58E">
      <w:pPr>
        <w:pStyle w:val="2"/>
        <w:spacing w:before="47" w:line="318" w:lineRule="auto"/>
        <w:ind w:right="19"/>
        <w:jc w:val="center"/>
        <w:rPr>
          <w:rFonts w:hint="eastAsia"/>
          <w:b/>
          <w:bCs/>
          <w:spacing w:val="8"/>
          <w:sz w:val="36"/>
          <w:szCs w:val="36"/>
          <w:lang w:eastAsia="zh-CN"/>
        </w:rPr>
      </w:pPr>
    </w:p>
    <w:p w14:paraId="0AD49191">
      <w:pPr>
        <w:pStyle w:val="2"/>
        <w:spacing w:before="47" w:line="318" w:lineRule="auto"/>
        <w:ind w:right="19"/>
        <w:jc w:val="both"/>
        <w:rPr>
          <w:spacing w:val="8"/>
          <w:lang w:eastAsia="zh-CN"/>
        </w:rPr>
      </w:pPr>
      <w:r>
        <w:rPr>
          <w:rFonts w:hint="eastAsia"/>
          <w:spacing w:val="8"/>
          <w:lang w:eastAsia="zh-CN"/>
        </w:rPr>
        <w:t>一、领域：肿瘤、化免、AI</w:t>
      </w:r>
    </w:p>
    <w:p w14:paraId="73A951D5">
      <w:pPr>
        <w:pStyle w:val="2"/>
        <w:spacing w:before="47" w:line="318" w:lineRule="auto"/>
        <w:ind w:right="19"/>
        <w:jc w:val="both"/>
        <w:rPr>
          <w:rFonts w:hint="eastAsia"/>
          <w:spacing w:val="8"/>
          <w:lang w:eastAsia="zh-CN"/>
        </w:rPr>
      </w:pPr>
      <w:r>
        <w:rPr>
          <w:rFonts w:hint="eastAsia"/>
          <w:spacing w:val="8"/>
          <w:lang w:eastAsia="zh-CN"/>
        </w:rPr>
        <w:t>二、主要研究内容：</w:t>
      </w:r>
    </w:p>
    <w:p w14:paraId="6E22B164">
      <w:pPr>
        <w:pStyle w:val="2"/>
        <w:spacing w:before="47" w:line="318" w:lineRule="auto"/>
        <w:ind w:right="19" w:firstLine="652" w:firstLineChars="200"/>
        <w:jc w:val="both"/>
        <w:rPr>
          <w:rFonts w:hint="eastAsia"/>
          <w:spacing w:val="8"/>
          <w:lang w:eastAsia="zh-CN"/>
        </w:rPr>
      </w:pPr>
      <w:r>
        <w:rPr>
          <w:rFonts w:hint="eastAsia"/>
          <w:spacing w:val="8"/>
          <w:lang w:eastAsia="zh-CN"/>
        </w:rPr>
        <w:t>研究覆盖范围：纳入确诊为食管癌的患者和健康对照组，覆盖不同年龄、性别及病理类型的患者。</w:t>
      </w:r>
    </w:p>
    <w:p w14:paraId="51F702CA">
      <w:pPr>
        <w:pStyle w:val="2"/>
        <w:spacing w:before="47" w:line="318" w:lineRule="auto"/>
        <w:ind w:right="19"/>
        <w:jc w:val="both"/>
        <w:rPr>
          <w:rFonts w:hint="eastAsia"/>
          <w:spacing w:val="8"/>
          <w:lang w:eastAsia="zh-CN"/>
        </w:rPr>
      </w:pPr>
      <w:r>
        <w:rPr>
          <w:rFonts w:hint="eastAsia"/>
          <w:spacing w:val="8"/>
          <w:lang w:eastAsia="zh-CN"/>
        </w:rPr>
        <w:t>多指标联合检测策略开发：基于食管癌患者的临床资料、实验室检测结果及随访数据，构建多指标联合检测策略，探讨这些指标在不同临床亚组（如不同分期、病理类型等）中的表现，以提高诊断策略的针对性和有效性。</w:t>
      </w:r>
    </w:p>
    <w:p w14:paraId="6BFB7236">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0BA1FC76">
      <w:pPr>
        <w:pStyle w:val="2"/>
        <w:spacing w:before="47" w:line="318" w:lineRule="auto"/>
        <w:ind w:right="19" w:firstLine="652" w:firstLineChars="200"/>
        <w:jc w:val="both"/>
        <w:rPr>
          <w:rFonts w:hint="eastAsia"/>
          <w:spacing w:val="8"/>
          <w:lang w:eastAsia="zh-CN"/>
        </w:rPr>
      </w:pPr>
      <w:r>
        <w:rPr>
          <w:rFonts w:hint="eastAsia"/>
          <w:spacing w:val="8"/>
          <w:lang w:eastAsia="zh-CN"/>
        </w:rPr>
        <w:t>1</w:t>
      </w:r>
      <w:r>
        <w:rPr>
          <w:spacing w:val="8"/>
          <w:lang w:eastAsia="zh-CN"/>
        </w:rPr>
        <w:t>.</w:t>
      </w:r>
      <w:r>
        <w:rPr>
          <w:rFonts w:hint="eastAsia"/>
          <w:spacing w:val="8"/>
          <w:lang w:eastAsia="zh-CN"/>
        </w:rPr>
        <w:t>样本收集与分析：完成100-200例食管癌患者及相应健康对照组的临床资料、实验室检测结果及随访数据的收集与分析。</w:t>
      </w:r>
    </w:p>
    <w:p w14:paraId="16C12C33">
      <w:pPr>
        <w:pStyle w:val="2"/>
        <w:spacing w:before="47" w:line="318" w:lineRule="auto"/>
        <w:ind w:right="19" w:firstLine="652" w:firstLineChars="200"/>
        <w:jc w:val="both"/>
        <w:rPr>
          <w:rFonts w:hint="eastAsia"/>
          <w:spacing w:val="8"/>
          <w:lang w:eastAsia="zh-CN"/>
        </w:rPr>
      </w:pPr>
      <w:r>
        <w:rPr>
          <w:spacing w:val="8"/>
          <w:lang w:eastAsia="zh-CN"/>
        </w:rPr>
        <w:t>2.</w:t>
      </w:r>
      <w:r>
        <w:rPr>
          <w:rFonts w:hint="eastAsia"/>
          <w:spacing w:val="8"/>
          <w:lang w:eastAsia="zh-CN"/>
        </w:rPr>
        <w:t>诊断效能评估报告：生成评估报告，包括各指标的独立诊断价值和联合应用效能。</w:t>
      </w:r>
    </w:p>
    <w:p w14:paraId="5DA9A56E">
      <w:pPr>
        <w:pStyle w:val="2"/>
        <w:spacing w:before="47" w:line="318" w:lineRule="auto"/>
        <w:ind w:right="19"/>
        <w:jc w:val="both"/>
        <w:rPr>
          <w:spacing w:val="8"/>
          <w:lang w:eastAsia="zh-CN"/>
        </w:rPr>
      </w:pPr>
      <w:r>
        <w:rPr>
          <w:rFonts w:hint="eastAsia"/>
          <w:spacing w:val="8"/>
          <w:lang w:eastAsia="zh-CN"/>
        </w:rPr>
        <w:t>四、项目实施年限：不超过2年。</w:t>
      </w:r>
    </w:p>
    <w:p w14:paraId="6B0BFBEB">
      <w:pPr>
        <w:pStyle w:val="2"/>
        <w:spacing w:before="47" w:line="318" w:lineRule="auto"/>
        <w:ind w:right="19"/>
        <w:jc w:val="both"/>
        <w:rPr>
          <w:spacing w:val="8"/>
          <w:lang w:eastAsia="zh-CN"/>
        </w:rPr>
      </w:pPr>
      <w:r>
        <w:rPr>
          <w:rFonts w:hint="eastAsia"/>
          <w:spacing w:val="8"/>
          <w:lang w:eastAsia="zh-CN"/>
        </w:rPr>
        <w:t>五、资助金额：不超过10万元。</w:t>
      </w:r>
    </w:p>
    <w:p w14:paraId="57E1BF88">
      <w:pPr>
        <w:spacing w:before="91" w:line="159" w:lineRule="auto"/>
        <w:ind w:right="248"/>
        <w:jc w:val="center"/>
        <w:outlineLvl w:val="0"/>
        <w:rPr>
          <w:rFonts w:ascii="微软雅黑" w:hAnsi="微软雅黑" w:eastAsia="微软雅黑" w:cs="微软雅黑"/>
          <w:spacing w:val="19"/>
          <w:sz w:val="44"/>
          <w:szCs w:val="44"/>
          <w:lang w:eastAsia="zh-CN"/>
        </w:rPr>
      </w:pPr>
    </w:p>
    <w:p w14:paraId="2D1FA3A1">
      <w:pPr>
        <w:spacing w:before="91" w:line="159" w:lineRule="auto"/>
        <w:ind w:right="248"/>
        <w:jc w:val="center"/>
        <w:outlineLvl w:val="0"/>
        <w:rPr>
          <w:rFonts w:ascii="微软雅黑" w:hAnsi="微软雅黑" w:eastAsia="微软雅黑" w:cs="微软雅黑"/>
          <w:spacing w:val="19"/>
          <w:sz w:val="44"/>
          <w:szCs w:val="44"/>
          <w:lang w:eastAsia="zh-CN"/>
        </w:rPr>
      </w:pPr>
    </w:p>
    <w:p w14:paraId="4ACB3870">
      <w:pPr>
        <w:spacing w:before="91" w:line="159" w:lineRule="auto"/>
        <w:ind w:right="248"/>
        <w:jc w:val="center"/>
        <w:outlineLvl w:val="0"/>
        <w:rPr>
          <w:rFonts w:ascii="微软雅黑" w:hAnsi="微软雅黑" w:eastAsia="微软雅黑" w:cs="微软雅黑"/>
          <w:spacing w:val="19"/>
          <w:sz w:val="44"/>
          <w:szCs w:val="44"/>
          <w:lang w:eastAsia="zh-CN"/>
        </w:rPr>
      </w:pPr>
    </w:p>
    <w:p w14:paraId="1A678B3D">
      <w:pPr>
        <w:spacing w:before="91" w:line="159" w:lineRule="auto"/>
        <w:ind w:right="248"/>
        <w:jc w:val="center"/>
        <w:outlineLvl w:val="0"/>
        <w:rPr>
          <w:rFonts w:ascii="微软雅黑" w:hAnsi="微软雅黑" w:eastAsia="微软雅黑" w:cs="微软雅黑"/>
          <w:spacing w:val="19"/>
          <w:sz w:val="44"/>
          <w:szCs w:val="44"/>
          <w:lang w:eastAsia="zh-CN"/>
        </w:rPr>
      </w:pPr>
    </w:p>
    <w:p w14:paraId="66A8DD94">
      <w:pPr>
        <w:pStyle w:val="2"/>
        <w:spacing w:before="47" w:line="318" w:lineRule="auto"/>
        <w:ind w:right="19"/>
        <w:jc w:val="both"/>
        <w:rPr>
          <w:rFonts w:hint="eastAsia"/>
          <w:spacing w:val="8"/>
          <w:lang w:eastAsia="zh-CN"/>
        </w:rPr>
      </w:pPr>
    </w:p>
    <w:p w14:paraId="09CFA813">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02412012</w:t>
      </w:r>
      <w:r>
        <w:rPr>
          <w:rFonts w:hint="eastAsia"/>
          <w:b/>
          <w:bCs/>
          <w:spacing w:val="8"/>
          <w:sz w:val="36"/>
          <w:szCs w:val="36"/>
          <w:lang w:eastAsia="zh-CN"/>
        </w:rPr>
        <w:t xml:space="preserve"> 胃癌早期诊断模型建立相关临床研究</w:t>
      </w:r>
    </w:p>
    <w:p w14:paraId="6FD5DDF9">
      <w:pPr>
        <w:pStyle w:val="2"/>
        <w:spacing w:before="47" w:line="318" w:lineRule="auto"/>
        <w:ind w:right="19"/>
        <w:jc w:val="center"/>
        <w:rPr>
          <w:rFonts w:hint="eastAsia"/>
          <w:b/>
          <w:bCs/>
          <w:spacing w:val="8"/>
          <w:sz w:val="36"/>
          <w:szCs w:val="36"/>
          <w:lang w:eastAsia="zh-CN"/>
        </w:rPr>
      </w:pPr>
    </w:p>
    <w:p w14:paraId="7252B2F2">
      <w:pPr>
        <w:pStyle w:val="2"/>
        <w:spacing w:before="47" w:line="318" w:lineRule="auto"/>
        <w:ind w:right="19"/>
        <w:jc w:val="both"/>
        <w:rPr>
          <w:spacing w:val="8"/>
          <w:lang w:eastAsia="zh-CN"/>
        </w:rPr>
      </w:pPr>
      <w:r>
        <w:rPr>
          <w:rFonts w:hint="eastAsia"/>
          <w:spacing w:val="8"/>
          <w:lang w:eastAsia="zh-CN"/>
        </w:rPr>
        <w:t>一、领域：肿瘤、化免、AI</w:t>
      </w:r>
    </w:p>
    <w:p w14:paraId="1F4CB9E0">
      <w:pPr>
        <w:rPr>
          <w:rFonts w:ascii="仿宋" w:hAnsi="仿宋" w:eastAsia="仿宋" w:cs="仿宋"/>
          <w:spacing w:val="8"/>
          <w:sz w:val="31"/>
          <w:szCs w:val="31"/>
          <w:lang w:eastAsia="zh-CN"/>
        </w:rPr>
      </w:pPr>
      <w:r>
        <w:rPr>
          <w:rFonts w:hint="eastAsia" w:ascii="仿宋" w:hAnsi="仿宋" w:eastAsia="仿宋" w:cs="仿宋"/>
          <w:spacing w:val="8"/>
          <w:sz w:val="31"/>
          <w:szCs w:val="31"/>
          <w:lang w:eastAsia="zh-CN"/>
        </w:rPr>
        <w:t>二、主要研究内容：</w:t>
      </w:r>
    </w:p>
    <w:p w14:paraId="32AF3844">
      <w:pPr>
        <w:pStyle w:val="2"/>
        <w:spacing w:before="47" w:line="318" w:lineRule="auto"/>
        <w:ind w:right="19" w:firstLine="652" w:firstLineChars="200"/>
        <w:jc w:val="both"/>
        <w:rPr>
          <w:rFonts w:hint="eastAsia"/>
          <w:spacing w:val="8"/>
          <w:lang w:eastAsia="zh-CN"/>
        </w:rPr>
      </w:pPr>
      <w:r>
        <w:rPr>
          <w:rFonts w:hint="eastAsia"/>
          <w:spacing w:val="8"/>
          <w:lang w:eastAsia="zh-CN"/>
        </w:rPr>
        <w:t>（一）研究覆盖范围：覆盖成年男性女性，从疾病类型上覆盖胃癌患者及健康对照组。</w:t>
      </w:r>
    </w:p>
    <w:p w14:paraId="04E89E59">
      <w:pPr>
        <w:pStyle w:val="2"/>
        <w:spacing w:before="47" w:line="318" w:lineRule="auto"/>
        <w:ind w:right="19" w:firstLine="652" w:firstLineChars="200"/>
        <w:jc w:val="both"/>
        <w:rPr>
          <w:spacing w:val="8"/>
          <w:lang w:eastAsia="zh-CN"/>
        </w:rPr>
      </w:pPr>
      <w:r>
        <w:rPr>
          <w:rFonts w:hint="eastAsia"/>
          <w:spacing w:val="8"/>
          <w:lang w:eastAsia="zh-CN"/>
        </w:rPr>
        <w:t>（二）胃癌早期诊断临床研究：评估胃癌患者的临床资料、实验室检测结果及随访数据，探讨这些生物标志物与胃癌临床病理特征之间的关联，包括肿瘤分期、病理类型和患者预后等，并构建多参数生物标志物模型，综合评估该模型在胃癌早期诊断中的效能。</w:t>
      </w:r>
    </w:p>
    <w:p w14:paraId="34B1A538">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5692CE14">
      <w:pPr>
        <w:pStyle w:val="2"/>
        <w:spacing w:before="47" w:line="318" w:lineRule="auto"/>
        <w:ind w:right="19" w:firstLine="652" w:firstLineChars="200"/>
        <w:jc w:val="both"/>
        <w:rPr>
          <w:rFonts w:hint="eastAsia"/>
          <w:spacing w:val="8"/>
          <w:lang w:eastAsia="zh-CN"/>
        </w:rPr>
      </w:pPr>
      <w:r>
        <w:rPr>
          <w:rFonts w:hint="eastAsia"/>
          <w:spacing w:val="8"/>
          <w:lang w:eastAsia="zh-CN"/>
        </w:rPr>
        <w:t>1</w:t>
      </w:r>
      <w:r>
        <w:rPr>
          <w:spacing w:val="8"/>
          <w:lang w:eastAsia="zh-CN"/>
        </w:rPr>
        <w:t>.</w:t>
      </w:r>
      <w:r>
        <w:rPr>
          <w:rFonts w:hint="eastAsia"/>
          <w:spacing w:val="8"/>
          <w:lang w:eastAsia="zh-CN"/>
        </w:rPr>
        <w:t>样本收集与分析：完成100-200例胃癌患者及相应健康对照组的血液样本收集，系统测定上述生物标志物。</w:t>
      </w:r>
    </w:p>
    <w:p w14:paraId="164D20F9">
      <w:pPr>
        <w:pStyle w:val="2"/>
        <w:spacing w:before="47" w:line="318" w:lineRule="auto"/>
        <w:ind w:right="19" w:firstLine="652" w:firstLineChars="200"/>
        <w:jc w:val="both"/>
        <w:rPr>
          <w:spacing w:val="8"/>
          <w:lang w:eastAsia="zh-CN"/>
        </w:rPr>
      </w:pPr>
      <w:r>
        <w:rPr>
          <w:rFonts w:hint="eastAsia"/>
          <w:spacing w:val="8"/>
          <w:lang w:eastAsia="zh-CN"/>
        </w:rPr>
        <w:t>2</w:t>
      </w:r>
      <w:r>
        <w:rPr>
          <w:spacing w:val="8"/>
          <w:lang w:eastAsia="zh-CN"/>
        </w:rPr>
        <w:t>.</w:t>
      </w:r>
      <w:r>
        <w:rPr>
          <w:rFonts w:hint="eastAsia"/>
          <w:spacing w:val="8"/>
          <w:lang w:eastAsia="zh-CN"/>
        </w:rPr>
        <w:t>诊断效能评估报告：生成评估报告，包括生物标志物水平差异比较、独立诊断价值和诊断效能评估。</w:t>
      </w:r>
    </w:p>
    <w:p w14:paraId="5B697086">
      <w:pPr>
        <w:pStyle w:val="2"/>
        <w:spacing w:before="47" w:line="318" w:lineRule="auto"/>
        <w:ind w:right="19"/>
        <w:jc w:val="both"/>
        <w:rPr>
          <w:spacing w:val="8"/>
          <w:lang w:eastAsia="zh-CN"/>
        </w:rPr>
      </w:pPr>
      <w:r>
        <w:rPr>
          <w:rFonts w:hint="eastAsia"/>
          <w:spacing w:val="8"/>
          <w:lang w:eastAsia="zh-CN"/>
        </w:rPr>
        <w:t>四、项目实施年限：不超过2年。</w:t>
      </w:r>
    </w:p>
    <w:p w14:paraId="1BC55749">
      <w:pPr>
        <w:pStyle w:val="2"/>
        <w:spacing w:before="47" w:line="318" w:lineRule="auto"/>
        <w:ind w:right="19"/>
        <w:jc w:val="both"/>
        <w:rPr>
          <w:spacing w:val="8"/>
          <w:lang w:eastAsia="zh-CN"/>
        </w:rPr>
      </w:pPr>
      <w:r>
        <w:rPr>
          <w:rFonts w:hint="eastAsia"/>
          <w:spacing w:val="8"/>
          <w:lang w:eastAsia="zh-CN"/>
        </w:rPr>
        <w:t>五、资助金额：不超过10万元。</w:t>
      </w:r>
    </w:p>
    <w:p w14:paraId="104504E9">
      <w:pPr>
        <w:spacing w:before="91" w:line="159" w:lineRule="auto"/>
        <w:ind w:right="248"/>
        <w:jc w:val="center"/>
        <w:outlineLvl w:val="0"/>
        <w:rPr>
          <w:rFonts w:ascii="微软雅黑" w:hAnsi="微软雅黑" w:eastAsia="微软雅黑" w:cs="微软雅黑"/>
          <w:spacing w:val="19"/>
          <w:sz w:val="44"/>
          <w:szCs w:val="44"/>
          <w:lang w:eastAsia="zh-CN"/>
        </w:rPr>
      </w:pPr>
    </w:p>
    <w:p w14:paraId="600E945A">
      <w:pPr>
        <w:spacing w:before="91" w:line="159" w:lineRule="auto"/>
        <w:ind w:right="248"/>
        <w:jc w:val="center"/>
        <w:outlineLvl w:val="0"/>
        <w:rPr>
          <w:rFonts w:ascii="微软雅黑" w:hAnsi="微软雅黑" w:eastAsia="微软雅黑" w:cs="微软雅黑"/>
          <w:spacing w:val="19"/>
          <w:sz w:val="44"/>
          <w:szCs w:val="44"/>
          <w:lang w:eastAsia="zh-CN"/>
        </w:rPr>
      </w:pPr>
    </w:p>
    <w:p w14:paraId="71ACF648">
      <w:pPr>
        <w:spacing w:before="91" w:line="159" w:lineRule="auto"/>
        <w:ind w:right="248"/>
        <w:jc w:val="both"/>
        <w:outlineLvl w:val="0"/>
        <w:rPr>
          <w:rFonts w:hint="eastAsia" w:ascii="微软雅黑" w:hAnsi="微软雅黑" w:eastAsia="微软雅黑" w:cs="微软雅黑"/>
          <w:spacing w:val="19"/>
          <w:sz w:val="44"/>
          <w:szCs w:val="44"/>
          <w:lang w:eastAsia="zh-CN"/>
        </w:rPr>
      </w:pPr>
    </w:p>
    <w:p w14:paraId="3E0035A8">
      <w:pPr>
        <w:pStyle w:val="2"/>
        <w:spacing w:before="47" w:line="318" w:lineRule="auto"/>
        <w:ind w:right="19"/>
        <w:jc w:val="center"/>
        <w:rPr>
          <w:rFonts w:hint="eastAsia"/>
          <w:b/>
          <w:bCs/>
          <w:spacing w:val="8"/>
          <w:sz w:val="36"/>
          <w:szCs w:val="36"/>
          <w:lang w:eastAsia="zh-CN"/>
        </w:rPr>
      </w:pPr>
    </w:p>
    <w:p w14:paraId="24CAB4D3">
      <w:pPr>
        <w:pStyle w:val="2"/>
        <w:spacing w:before="47" w:line="318" w:lineRule="auto"/>
        <w:ind w:right="19"/>
        <w:jc w:val="center"/>
        <w:rPr>
          <w:rFonts w:hint="eastAsia"/>
          <w:b/>
          <w:bCs/>
          <w:spacing w:val="8"/>
          <w:sz w:val="36"/>
          <w:szCs w:val="36"/>
          <w:lang w:eastAsia="zh-CN"/>
        </w:rPr>
      </w:pPr>
      <w:bookmarkStart w:id="0" w:name="_GoBack"/>
      <w:bookmarkEnd w:id="0"/>
      <w:r>
        <w:rPr>
          <w:rFonts w:hint="eastAsia"/>
          <w:b/>
          <w:bCs/>
          <w:spacing w:val="8"/>
          <w:sz w:val="36"/>
          <w:szCs w:val="36"/>
          <w:lang w:eastAsia="zh-CN"/>
        </w:rPr>
        <w:t>创2</w:t>
      </w:r>
      <w:r>
        <w:rPr>
          <w:b/>
          <w:bCs/>
          <w:spacing w:val="8"/>
          <w:sz w:val="36"/>
          <w:szCs w:val="36"/>
          <w:lang w:eastAsia="zh-CN"/>
        </w:rPr>
        <w:t>02412013</w:t>
      </w:r>
      <w:r>
        <w:rPr>
          <w:rFonts w:hint="eastAsia"/>
          <w:b/>
          <w:bCs/>
          <w:spacing w:val="8"/>
          <w:sz w:val="36"/>
          <w:szCs w:val="36"/>
          <w:lang w:eastAsia="zh-CN"/>
        </w:rPr>
        <w:t xml:space="preserve"> 前列腺癌早期诊断模型建立相关临床研究</w:t>
      </w:r>
    </w:p>
    <w:p w14:paraId="1869A45E">
      <w:pPr>
        <w:pStyle w:val="2"/>
        <w:spacing w:before="47" w:line="318" w:lineRule="auto"/>
        <w:ind w:right="19"/>
        <w:jc w:val="center"/>
        <w:rPr>
          <w:rFonts w:hint="eastAsia"/>
          <w:b/>
          <w:bCs/>
          <w:spacing w:val="8"/>
          <w:sz w:val="36"/>
          <w:szCs w:val="36"/>
          <w:lang w:eastAsia="zh-CN"/>
        </w:rPr>
      </w:pPr>
    </w:p>
    <w:p w14:paraId="20547662">
      <w:pPr>
        <w:pStyle w:val="2"/>
        <w:spacing w:before="47" w:line="318" w:lineRule="auto"/>
        <w:ind w:right="19"/>
        <w:jc w:val="both"/>
        <w:rPr>
          <w:spacing w:val="8"/>
          <w:lang w:eastAsia="zh-CN"/>
        </w:rPr>
      </w:pPr>
      <w:r>
        <w:rPr>
          <w:rFonts w:hint="eastAsia"/>
          <w:spacing w:val="8"/>
          <w:lang w:eastAsia="zh-CN"/>
        </w:rPr>
        <w:t>一、领域：肿瘤、化免、AI</w:t>
      </w:r>
    </w:p>
    <w:p w14:paraId="641C073B">
      <w:pPr>
        <w:rPr>
          <w:rFonts w:ascii="仿宋" w:hAnsi="仿宋" w:eastAsia="仿宋" w:cs="仿宋"/>
          <w:spacing w:val="8"/>
          <w:sz w:val="31"/>
          <w:szCs w:val="31"/>
          <w:lang w:eastAsia="zh-CN"/>
        </w:rPr>
      </w:pPr>
      <w:r>
        <w:rPr>
          <w:rFonts w:hint="eastAsia" w:ascii="仿宋" w:hAnsi="仿宋" w:eastAsia="仿宋" w:cs="仿宋"/>
          <w:spacing w:val="8"/>
          <w:sz w:val="31"/>
          <w:szCs w:val="31"/>
          <w:lang w:eastAsia="zh-CN"/>
        </w:rPr>
        <w:t>二、主要研究内容：</w:t>
      </w:r>
    </w:p>
    <w:p w14:paraId="09373652">
      <w:pPr>
        <w:pStyle w:val="2"/>
        <w:spacing w:before="47" w:line="318" w:lineRule="auto"/>
        <w:ind w:right="19" w:firstLine="652" w:firstLineChars="200"/>
        <w:jc w:val="both"/>
        <w:rPr>
          <w:rFonts w:hint="eastAsia"/>
          <w:spacing w:val="8"/>
          <w:lang w:eastAsia="zh-CN"/>
        </w:rPr>
      </w:pPr>
      <w:r>
        <w:rPr>
          <w:rFonts w:hint="eastAsia"/>
          <w:spacing w:val="8"/>
          <w:lang w:eastAsia="zh-CN"/>
        </w:rPr>
        <w:t>（一）研究覆盖范围：覆盖成年男性，包括前列腺癌患者和良性前列腺疾病患者。</w:t>
      </w:r>
    </w:p>
    <w:p w14:paraId="73F93726">
      <w:pPr>
        <w:pStyle w:val="2"/>
        <w:spacing w:before="47" w:line="318" w:lineRule="auto"/>
        <w:ind w:right="19" w:firstLine="652" w:firstLineChars="200"/>
        <w:jc w:val="both"/>
        <w:rPr>
          <w:spacing w:val="8"/>
          <w:lang w:eastAsia="zh-CN"/>
        </w:rPr>
      </w:pPr>
      <w:r>
        <w:rPr>
          <w:rFonts w:hint="eastAsia"/>
          <w:spacing w:val="8"/>
          <w:lang w:eastAsia="zh-CN"/>
        </w:rPr>
        <w:t>（二）前列腺癌早期诊断临床研究：探索血清标志物在前列腺癌早期诊断中的临床应用价值，对比传统诊断方法与基于多源血清标志物的诊断模型。</w:t>
      </w:r>
    </w:p>
    <w:p w14:paraId="6D6BEC47">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659DE9E1">
      <w:pPr>
        <w:pStyle w:val="2"/>
        <w:spacing w:before="47" w:line="318" w:lineRule="auto"/>
        <w:ind w:right="19" w:firstLine="652" w:firstLineChars="200"/>
        <w:jc w:val="both"/>
        <w:rPr>
          <w:rFonts w:hint="eastAsia"/>
          <w:spacing w:val="8"/>
          <w:lang w:eastAsia="zh-CN"/>
        </w:rPr>
      </w:pPr>
      <w:r>
        <w:rPr>
          <w:rFonts w:hint="eastAsia"/>
          <w:spacing w:val="8"/>
          <w:lang w:eastAsia="zh-CN"/>
        </w:rPr>
        <w:t>1</w:t>
      </w:r>
      <w:r>
        <w:rPr>
          <w:spacing w:val="8"/>
          <w:lang w:eastAsia="zh-CN"/>
        </w:rPr>
        <w:t>.</w:t>
      </w:r>
      <w:r>
        <w:rPr>
          <w:rFonts w:hint="eastAsia"/>
          <w:spacing w:val="8"/>
          <w:lang w:eastAsia="zh-CN"/>
        </w:rPr>
        <w:t>样本收集与分析：完成100-200例前列腺癌患者及相应健康对照组的血清样本收集，综合分析多个生物标志物。</w:t>
      </w:r>
    </w:p>
    <w:p w14:paraId="50C5BC0E">
      <w:pPr>
        <w:pStyle w:val="2"/>
        <w:spacing w:before="47" w:line="318" w:lineRule="auto"/>
        <w:ind w:right="19" w:firstLine="652" w:firstLineChars="200"/>
        <w:jc w:val="both"/>
        <w:rPr>
          <w:spacing w:val="8"/>
          <w:lang w:eastAsia="zh-CN"/>
        </w:rPr>
      </w:pPr>
      <w:r>
        <w:rPr>
          <w:rFonts w:hint="eastAsia"/>
          <w:spacing w:val="8"/>
          <w:lang w:eastAsia="zh-CN"/>
        </w:rPr>
        <w:t>2</w:t>
      </w:r>
      <w:r>
        <w:rPr>
          <w:spacing w:val="8"/>
          <w:lang w:eastAsia="zh-CN"/>
        </w:rPr>
        <w:t>.</w:t>
      </w:r>
      <w:r>
        <w:rPr>
          <w:rFonts w:hint="eastAsia"/>
          <w:spacing w:val="8"/>
          <w:lang w:eastAsia="zh-CN"/>
        </w:rPr>
        <w:t>诊断效能评估报告：生成评估报告，包括前列腺癌模型的准确性和有效性评估。</w:t>
      </w:r>
    </w:p>
    <w:p w14:paraId="32B71D81">
      <w:pPr>
        <w:pStyle w:val="2"/>
        <w:spacing w:before="47" w:line="318" w:lineRule="auto"/>
        <w:ind w:right="19"/>
        <w:jc w:val="both"/>
        <w:rPr>
          <w:spacing w:val="8"/>
          <w:lang w:eastAsia="zh-CN"/>
        </w:rPr>
      </w:pPr>
      <w:r>
        <w:rPr>
          <w:rFonts w:hint="eastAsia"/>
          <w:spacing w:val="8"/>
          <w:lang w:eastAsia="zh-CN"/>
        </w:rPr>
        <w:t>四、项目实施年限：不超过2年。</w:t>
      </w:r>
    </w:p>
    <w:p w14:paraId="3373D308">
      <w:pPr>
        <w:spacing w:before="91" w:line="159" w:lineRule="auto"/>
        <w:ind w:right="248"/>
        <w:outlineLvl w:val="0"/>
        <w:rPr>
          <w:rFonts w:hint="eastAsia" w:ascii="微软雅黑" w:hAnsi="微软雅黑" w:eastAsia="微软雅黑" w:cs="微软雅黑"/>
          <w:spacing w:val="19"/>
          <w:sz w:val="44"/>
          <w:szCs w:val="44"/>
          <w:lang w:eastAsia="zh-CN"/>
        </w:rPr>
      </w:pPr>
      <w:r>
        <w:rPr>
          <w:rFonts w:hint="eastAsia" w:ascii="仿宋" w:hAnsi="仿宋" w:eastAsia="仿宋" w:cs="仿宋"/>
          <w:spacing w:val="8"/>
          <w:sz w:val="31"/>
          <w:szCs w:val="31"/>
          <w:lang w:eastAsia="zh-CN"/>
        </w:rPr>
        <w:t>五、资助金额</w:t>
      </w:r>
      <w:r>
        <w:rPr>
          <w:rFonts w:hint="eastAsia"/>
          <w:spacing w:val="8"/>
          <w:lang w:eastAsia="zh-CN"/>
        </w:rPr>
        <w:t>：</w:t>
      </w:r>
      <w:r>
        <w:rPr>
          <w:rFonts w:hint="eastAsia" w:ascii="仿宋" w:hAnsi="仿宋" w:eastAsia="仿宋" w:cs="仿宋"/>
          <w:spacing w:val="8"/>
          <w:sz w:val="31"/>
          <w:szCs w:val="31"/>
          <w:lang w:eastAsia="zh-CN"/>
        </w:rPr>
        <w:t>不超过10万元。</w:t>
      </w:r>
    </w:p>
    <w:p w14:paraId="038102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D83F7"/>
    <w:multiLevelType w:val="singleLevel"/>
    <w:tmpl w:val="8D9D83F7"/>
    <w:lvl w:ilvl="0" w:tentative="0">
      <w:start w:val="3"/>
      <w:numFmt w:val="chineseCounting"/>
      <w:suff w:val="nothing"/>
      <w:lvlText w:val="%1、"/>
      <w:lvlJc w:val="left"/>
      <w:rPr>
        <w:rFonts w:hint="eastAsia"/>
      </w:rPr>
    </w:lvl>
  </w:abstractNum>
  <w:abstractNum w:abstractNumId="1">
    <w:nsid w:val="B7112B3A"/>
    <w:multiLevelType w:val="singleLevel"/>
    <w:tmpl w:val="B7112B3A"/>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0332FC"/>
    <w:rsid w:val="6A033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2024-12-04T08:31:00Z</dcterms:created>
  <dc:creator>Elfinsword、</dc:creator>
  <cp:lastModifiedBy>Elfinsword、</cp:lastModifiedBy>
  <dcterms:modified xsi:type="dcterms:W3CDTF">2024-12-04T08:32:59Z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03D111CB06B04F17B31A2F97388320E8_11</vt:lpwstr>
  </property>
</Properties>
</file>